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spacing w:line="600" w:lineRule="exact"/>
        <w:jc w:val="center"/>
        <w:rPr>
          <w:rFonts w:hint="eastAsia" w:ascii="宋体" w:hAnsi="宋体" w:cs="宋体"/>
          <w:b/>
          <w:bCs/>
          <w:sz w:val="44"/>
          <w:szCs w:val="44"/>
        </w:rPr>
      </w:pPr>
      <w:bookmarkStart w:id="0" w:name="_GoBack"/>
      <w:r>
        <w:rPr>
          <w:rFonts w:hint="eastAsia" w:ascii="宋体" w:hAnsi="宋体" w:cs="宋体"/>
          <w:b/>
          <w:bCs/>
          <w:sz w:val="44"/>
          <w:szCs w:val="44"/>
        </w:rPr>
        <w:t>采购课题简要说明</w:t>
      </w:r>
    </w:p>
    <w:bookmarkEnd w:id="0"/>
    <w:p>
      <w:pPr>
        <w:spacing w:line="600" w:lineRule="exact"/>
        <w:jc w:val="center"/>
        <w:rPr>
          <w:rFonts w:hint="eastAsia" w:ascii="仿宋_GB2312" w:hAnsi="仿宋_GB2312" w:eastAsia="仿宋_GB2312" w:cs="仿宋_GB2312"/>
          <w:sz w:val="32"/>
          <w:szCs w:val="32"/>
        </w:rPr>
      </w:pPr>
    </w:p>
    <w:p>
      <w:pPr>
        <w:widowControl/>
        <w:adjustRightInd w:val="0"/>
        <w:snapToGrid w:val="0"/>
        <w:spacing w:line="360" w:lineRule="auto"/>
        <w:ind w:firstLine="640" w:firstLineChars="200"/>
        <w:rPr>
          <w:rFonts w:hint="eastAsia" w:ascii="黑体" w:hAnsi="黑体" w:eastAsia="黑体"/>
          <w:bCs/>
          <w:kern w:val="0"/>
          <w:sz w:val="32"/>
          <w:szCs w:val="32"/>
          <w:lang w:bidi="ar"/>
        </w:rPr>
      </w:pPr>
      <w:r>
        <w:rPr>
          <w:rFonts w:hint="eastAsia" w:ascii="黑体" w:hAnsi="黑体" w:eastAsia="黑体" w:cs="方正黑体_GBK"/>
          <w:bCs/>
          <w:sz w:val="32"/>
          <w:szCs w:val="32"/>
        </w:rPr>
        <w:t>一、</w:t>
      </w:r>
      <w:r>
        <w:rPr>
          <w:rFonts w:hint="eastAsia" w:ascii="黑体" w:hAnsi="黑体" w:eastAsia="黑体"/>
          <w:bCs/>
          <w:kern w:val="0"/>
          <w:sz w:val="32"/>
          <w:szCs w:val="32"/>
          <w:lang w:val="en" w:bidi="ar"/>
        </w:rPr>
        <w:t>湖北提升重要战略支点能级重点与举措研究</w:t>
      </w:r>
    </w:p>
    <w:p>
      <w:pPr>
        <w:widowControl/>
        <w:adjustRightInd w:val="0"/>
        <w:snapToGrid w:val="0"/>
        <w:spacing w:line="360" w:lineRule="auto"/>
        <w:ind w:firstLine="640"/>
        <w:rPr>
          <w:rFonts w:hint="eastAsia" w:ascii="仿宋_GB2312" w:hAnsi="仿宋_GB2312" w:eastAsia="仿宋_GB2312" w:cs="CESI仿宋-GB2312"/>
          <w:bCs/>
          <w:kern w:val="0"/>
          <w:sz w:val="32"/>
          <w:szCs w:val="32"/>
          <w:lang w:bidi="ar"/>
        </w:rPr>
      </w:pPr>
      <w:r>
        <w:rPr>
          <w:rFonts w:hint="eastAsia" w:ascii="仿宋_GB2312" w:hAnsi="仿宋_GB2312" w:eastAsia="仿宋_GB2312" w:cs="CESI仿宋-GB2312"/>
          <w:bCs/>
          <w:kern w:val="0"/>
          <w:sz w:val="32"/>
          <w:szCs w:val="32"/>
          <w:lang w:bidi="ar"/>
        </w:rPr>
        <w:t>分析湖北在国家战略布局中的地位和作用，明确新时代背景下的战略定位，聚焦提升战略支点能级的关键领域，如创新驱动、产业升级和开放合作等，提出具体可行的政策建议和实施路径，为湖北加快建成重要战略支点、在国家发展战略中发挥更大作用提供理论支持。</w:t>
      </w:r>
    </w:p>
    <w:p>
      <w:pPr>
        <w:widowControl/>
        <w:adjustRightInd w:val="0"/>
        <w:snapToGrid w:val="0"/>
        <w:spacing w:line="360" w:lineRule="auto"/>
        <w:ind w:firstLine="640" w:firstLineChars="200"/>
        <w:rPr>
          <w:rFonts w:hint="eastAsia" w:ascii="仿宋_GB2312" w:hAnsi="仿宋_GB2312" w:eastAsia="仿宋_GB2312"/>
          <w:bCs/>
          <w:spacing w:val="-11"/>
          <w:sz w:val="32"/>
          <w:szCs w:val="32"/>
        </w:rPr>
      </w:pPr>
      <w:r>
        <w:rPr>
          <w:rFonts w:hint="eastAsia" w:ascii="黑体" w:hAnsi="黑体" w:eastAsia="黑体" w:cs="方正黑体_GBK"/>
          <w:bCs/>
          <w:sz w:val="32"/>
          <w:szCs w:val="32"/>
        </w:rPr>
        <w:t>二、湖北与国家重大发展战略进一步衔接联动的思路与对策</w:t>
      </w:r>
    </w:p>
    <w:p>
      <w:pPr>
        <w:widowControl/>
        <w:adjustRightInd w:val="0"/>
        <w:snapToGrid w:val="0"/>
        <w:spacing w:line="360" w:lineRule="auto"/>
        <w:ind w:firstLine="640" w:firstLineChars="200"/>
        <w:rPr>
          <w:rFonts w:ascii="仿宋_GB2312" w:hAnsi="仿宋_GB2312" w:eastAsia="仿宋_GB2312"/>
          <w:bCs/>
          <w:spacing w:val="-11"/>
          <w:sz w:val="32"/>
          <w:szCs w:val="32"/>
        </w:rPr>
      </w:pPr>
      <w:r>
        <w:rPr>
          <w:rFonts w:ascii="仿宋_GB2312" w:hAnsi="仿宋_GB2312" w:eastAsia="仿宋_GB2312"/>
          <w:bCs/>
          <w:sz w:val="32"/>
          <w:szCs w:val="32"/>
        </w:rPr>
        <w:t>研究我省与长三角一体化发展、粤港澳大湾区</w:t>
      </w:r>
      <w:r>
        <w:rPr>
          <w:rFonts w:hint="eastAsia" w:ascii="仿宋_GB2312" w:hAnsi="仿宋_GB2312" w:eastAsia="仿宋_GB2312"/>
          <w:bCs/>
          <w:sz w:val="32"/>
          <w:szCs w:val="32"/>
        </w:rPr>
        <w:t>建设</w:t>
      </w:r>
      <w:r>
        <w:rPr>
          <w:rFonts w:ascii="仿宋_GB2312" w:hAnsi="仿宋_GB2312" w:eastAsia="仿宋_GB2312"/>
          <w:bCs/>
          <w:sz w:val="32"/>
          <w:szCs w:val="32"/>
        </w:rPr>
        <w:t>、成渝地区双城经济圈</w:t>
      </w:r>
      <w:r>
        <w:rPr>
          <w:rFonts w:hint="eastAsia" w:ascii="仿宋_GB2312" w:hAnsi="仿宋_GB2312" w:eastAsia="仿宋_GB2312"/>
          <w:bCs/>
          <w:sz w:val="32"/>
          <w:szCs w:val="32"/>
        </w:rPr>
        <w:t>建设</w:t>
      </w:r>
      <w:r>
        <w:rPr>
          <w:rFonts w:ascii="仿宋_GB2312" w:hAnsi="仿宋_GB2312" w:eastAsia="仿宋_GB2312"/>
          <w:bCs/>
          <w:sz w:val="32"/>
          <w:szCs w:val="32"/>
        </w:rPr>
        <w:t>等</w:t>
      </w:r>
      <w:r>
        <w:rPr>
          <w:rFonts w:hint="eastAsia" w:ascii="仿宋_GB2312" w:hAnsi="仿宋_GB2312" w:eastAsia="仿宋_GB2312"/>
          <w:bCs/>
          <w:sz w:val="32"/>
          <w:szCs w:val="32"/>
        </w:rPr>
        <w:t>国家</w:t>
      </w:r>
      <w:r>
        <w:rPr>
          <w:rFonts w:ascii="仿宋_GB2312" w:hAnsi="仿宋_GB2312" w:eastAsia="仿宋_GB2312"/>
          <w:bCs/>
          <w:sz w:val="32"/>
          <w:szCs w:val="32"/>
        </w:rPr>
        <w:t>重大发展战略衔接联动的重点路径</w:t>
      </w:r>
      <w:r>
        <w:rPr>
          <w:rFonts w:hint="eastAsia" w:ascii="仿宋_GB2312" w:hAnsi="仿宋_GB2312" w:eastAsia="仿宋_GB2312"/>
          <w:bCs/>
          <w:sz w:val="32"/>
          <w:szCs w:val="32"/>
        </w:rPr>
        <w:t>、重要抓手、重大工程</w:t>
      </w:r>
      <w:r>
        <w:rPr>
          <w:rFonts w:ascii="仿宋_GB2312" w:hAnsi="仿宋_GB2312" w:eastAsia="仿宋_GB2312"/>
          <w:bCs/>
          <w:sz w:val="32"/>
          <w:szCs w:val="32"/>
        </w:rPr>
        <w:t>和对策举措，</w:t>
      </w:r>
      <w:r>
        <w:rPr>
          <w:rFonts w:hint="eastAsia" w:ascii="仿宋_GB2312" w:hAnsi="仿宋_GB2312" w:eastAsia="仿宋_GB2312"/>
          <w:bCs/>
          <w:sz w:val="32"/>
          <w:szCs w:val="32"/>
        </w:rPr>
        <w:t>深入</w:t>
      </w:r>
      <w:r>
        <w:rPr>
          <w:rFonts w:ascii="仿宋_GB2312" w:hAnsi="仿宋_GB2312" w:eastAsia="仿宋_GB2312"/>
          <w:bCs/>
          <w:sz w:val="32"/>
          <w:szCs w:val="32"/>
        </w:rPr>
        <w:t>构建多层面、常态化跨区域合作机制。</w:t>
      </w:r>
    </w:p>
    <w:p>
      <w:pPr>
        <w:widowControl/>
        <w:adjustRightInd w:val="0"/>
        <w:snapToGrid w:val="0"/>
        <w:spacing w:line="360" w:lineRule="auto"/>
        <w:ind w:firstLine="640" w:firstLineChars="200"/>
        <w:rPr>
          <w:rFonts w:hint="eastAsia" w:ascii="黑体" w:hAnsi="黑体" w:eastAsia="黑体"/>
          <w:bCs/>
          <w:kern w:val="0"/>
          <w:sz w:val="32"/>
          <w:szCs w:val="32"/>
          <w:lang w:bidi="ar"/>
        </w:rPr>
      </w:pPr>
      <w:r>
        <w:rPr>
          <w:rFonts w:hint="eastAsia" w:ascii="黑体" w:hAnsi="黑体" w:eastAsia="黑体" w:cs="方正黑体_GBK"/>
          <w:bCs/>
          <w:sz w:val="32"/>
          <w:szCs w:val="32"/>
        </w:rPr>
        <w:t>三、</w:t>
      </w:r>
      <w:r>
        <w:rPr>
          <w:rFonts w:hint="eastAsia" w:ascii="黑体" w:hAnsi="黑体" w:eastAsia="黑体"/>
          <w:bCs/>
          <w:kern w:val="0"/>
          <w:sz w:val="32"/>
          <w:szCs w:val="32"/>
          <w:lang w:bidi="ar"/>
        </w:rPr>
        <w:t>湖北打造全国新质生产力发展高地研究</w:t>
      </w:r>
    </w:p>
    <w:p>
      <w:pPr>
        <w:widowControl/>
        <w:adjustRightInd w:val="0"/>
        <w:snapToGrid w:val="0"/>
        <w:spacing w:line="360" w:lineRule="auto"/>
        <w:ind w:firstLine="640"/>
        <w:rPr>
          <w:rFonts w:hint="eastAsia" w:ascii="仿宋_GB2312" w:hAnsi="仿宋_GB2312" w:eastAsia="仿宋_GB2312" w:cs="CESI仿宋-GB2312"/>
          <w:bCs/>
          <w:kern w:val="0"/>
          <w:sz w:val="32"/>
          <w:szCs w:val="32"/>
          <w:lang w:bidi="ar"/>
        </w:rPr>
      </w:pPr>
      <w:r>
        <w:rPr>
          <w:rFonts w:hint="eastAsia" w:ascii="仿宋_GB2312" w:hAnsi="仿宋_GB2312" w:eastAsia="仿宋_GB2312" w:cs="CESI仿宋-GB2312"/>
          <w:bCs/>
          <w:kern w:val="0"/>
          <w:sz w:val="32"/>
          <w:szCs w:val="32"/>
          <w:lang w:bidi="ar"/>
        </w:rPr>
        <w:t>探讨湖北充分发挥自身在地理区位、资源禀赋、教育科研和产业基础等方面优势，克服制约新质生产力发展的瓶颈和挑战，构建以高新技术产业为主导的现代产业体系，培育新的经济增长点，促进经济高质量发展，在全国范围内打造具有示范和引领作用的新质生产力发展高地。</w:t>
      </w:r>
    </w:p>
    <w:p>
      <w:pPr>
        <w:widowControl/>
        <w:adjustRightInd w:val="0"/>
        <w:snapToGrid w:val="0"/>
        <w:spacing w:line="360" w:lineRule="auto"/>
        <w:ind w:firstLine="640" w:firstLineChars="200"/>
        <w:rPr>
          <w:rFonts w:ascii="仿宋_GB2312" w:hAnsi="仿宋_GB2312" w:eastAsia="仿宋_GB2312" w:cs="方正楷体_GBK"/>
          <w:bCs/>
          <w:sz w:val="32"/>
          <w:szCs w:val="32"/>
        </w:rPr>
      </w:pPr>
      <w:r>
        <w:rPr>
          <w:rFonts w:hint="eastAsia" w:ascii="黑体" w:hAnsi="黑体" w:eastAsia="黑体" w:cs="方正黑体_GBK"/>
          <w:bCs/>
          <w:sz w:val="32"/>
          <w:szCs w:val="32"/>
        </w:rPr>
        <w:t>四、突破性发展光电子信息产业，打造世界级光电子信息产业集群</w:t>
      </w:r>
    </w:p>
    <w:p>
      <w:pPr>
        <w:widowControl/>
        <w:adjustRightInd w:val="0"/>
        <w:snapToGrid w:val="0"/>
        <w:spacing w:line="360" w:lineRule="auto"/>
        <w:ind w:firstLine="640" w:firstLineChars="200"/>
        <w:rPr>
          <w:rFonts w:hint="eastAsia" w:ascii="仿宋_GB2312" w:hAnsi="仿宋_GB2312" w:eastAsia="仿宋_GB2312"/>
          <w:bCs/>
          <w:spacing w:val="-11"/>
          <w:sz w:val="32"/>
          <w:szCs w:val="32"/>
        </w:rPr>
      </w:pPr>
      <w:r>
        <w:rPr>
          <w:rFonts w:ascii="仿宋_GB2312" w:hAnsi="仿宋_GB2312" w:eastAsia="仿宋_GB2312"/>
          <w:bCs/>
          <w:sz w:val="32"/>
          <w:szCs w:val="32"/>
        </w:rPr>
        <w:t>聚焦夯实新质生产力的重要载体，围绕新型工业化主攻方向，深入分析当前我省推动</w:t>
      </w:r>
      <w:r>
        <w:rPr>
          <w:rFonts w:hint="eastAsia" w:ascii="仿宋_GB2312" w:hAnsi="仿宋_GB2312" w:eastAsia="仿宋_GB2312"/>
          <w:bCs/>
          <w:sz w:val="32"/>
          <w:szCs w:val="32"/>
        </w:rPr>
        <w:t>光电子信息产业</w:t>
      </w:r>
      <w:r>
        <w:rPr>
          <w:rFonts w:ascii="仿宋_GB2312" w:hAnsi="仿宋_GB2312" w:eastAsia="仿宋_GB2312"/>
          <w:bCs/>
          <w:sz w:val="32"/>
          <w:szCs w:val="32"/>
        </w:rPr>
        <w:t>的现状与存在的问题，提出</w:t>
      </w:r>
      <w:r>
        <w:rPr>
          <w:rFonts w:hint="eastAsia" w:ascii="仿宋_GB2312" w:hAnsi="仿宋_GB2312" w:eastAsia="仿宋_GB2312"/>
          <w:bCs/>
          <w:sz w:val="32"/>
          <w:szCs w:val="32"/>
        </w:rPr>
        <w:t>高水平建设“世界光谷”，</w:t>
      </w:r>
      <w:r>
        <w:rPr>
          <w:rFonts w:ascii="仿宋_GB2312" w:hAnsi="仿宋_GB2312" w:eastAsia="仿宋_GB2312"/>
          <w:bCs/>
          <w:sz w:val="32"/>
          <w:szCs w:val="32"/>
        </w:rPr>
        <w:t>打造世界</w:t>
      </w:r>
      <w:r>
        <w:rPr>
          <w:rFonts w:hint="eastAsia" w:ascii="仿宋_GB2312" w:hAnsi="仿宋_GB2312" w:eastAsia="仿宋_GB2312"/>
          <w:bCs/>
          <w:sz w:val="32"/>
          <w:szCs w:val="32"/>
        </w:rPr>
        <w:t>级光电子信息产业集群</w:t>
      </w:r>
      <w:r>
        <w:rPr>
          <w:rFonts w:ascii="仿宋_GB2312" w:hAnsi="仿宋_GB2312" w:eastAsia="仿宋_GB2312"/>
          <w:bCs/>
          <w:sz w:val="32"/>
          <w:szCs w:val="32"/>
        </w:rPr>
        <w:t>的思路与对策建议。</w:t>
      </w:r>
    </w:p>
    <w:p>
      <w:pPr>
        <w:widowControl/>
        <w:adjustRightInd w:val="0"/>
        <w:snapToGrid w:val="0"/>
        <w:spacing w:line="360" w:lineRule="auto"/>
        <w:ind w:firstLine="640" w:firstLineChars="200"/>
        <w:rPr>
          <w:rFonts w:hint="eastAsia" w:ascii="仿宋_GB2312" w:hAnsi="仿宋_GB2312" w:eastAsia="仿宋_GB2312" w:cs="CESI仿宋-GB2312"/>
          <w:bCs/>
          <w:kern w:val="0"/>
          <w:sz w:val="32"/>
          <w:szCs w:val="32"/>
          <w:lang w:bidi="ar"/>
        </w:rPr>
      </w:pPr>
      <w:r>
        <w:rPr>
          <w:rFonts w:hint="eastAsia" w:ascii="黑体" w:hAnsi="黑体" w:eastAsia="黑体" w:cs="方正黑体_GBK"/>
          <w:bCs/>
          <w:sz w:val="32"/>
          <w:szCs w:val="32"/>
        </w:rPr>
        <w:t>五、湖北“十五五”经济社会发展面临的机遇与挑战</w:t>
      </w:r>
    </w:p>
    <w:p>
      <w:pPr>
        <w:widowControl/>
        <w:adjustRightInd w:val="0"/>
        <w:snapToGrid w:val="0"/>
        <w:spacing w:line="360" w:lineRule="auto"/>
        <w:ind w:firstLine="640" w:firstLineChars="200"/>
        <w:rPr>
          <w:rFonts w:hint="eastAsia" w:ascii="仿宋_GB2312" w:hAnsi="仿宋_GB2312" w:eastAsia="仿宋_GB2312" w:cs="CESI仿宋-GB2312"/>
          <w:bCs/>
          <w:kern w:val="0"/>
          <w:sz w:val="32"/>
          <w:szCs w:val="32"/>
          <w:lang w:bidi="ar"/>
        </w:rPr>
      </w:pPr>
      <w:r>
        <w:rPr>
          <w:rFonts w:hint="eastAsia" w:ascii="仿宋_GB2312" w:hAnsi="仿宋_GB2312" w:eastAsia="仿宋_GB2312" w:cs="CESI仿宋-GB2312"/>
          <w:bCs/>
          <w:kern w:val="0"/>
          <w:sz w:val="32"/>
          <w:szCs w:val="32"/>
          <w:lang w:bidi="ar"/>
        </w:rPr>
        <w:t>结合二十届三中全会精神，聚焦“十五五”时期湖北发展的重大问题，深刻分析湖北面临的机遇与挑战，提出“十五五”时期湖北发展明确的思路、有效的政策、有力的举措，促进湖北经济社会发展迈上新台阶。</w:t>
      </w:r>
    </w:p>
    <w:p>
      <w:pPr>
        <w:widowControl/>
        <w:adjustRightInd w:val="0"/>
        <w:snapToGrid w:val="0"/>
        <w:spacing w:line="360" w:lineRule="auto"/>
        <w:ind w:firstLine="640" w:firstLineChars="200"/>
        <w:rPr>
          <w:rFonts w:hint="eastAsia" w:ascii="仿宋_GB2312" w:hAnsi="仿宋_GB2312" w:eastAsia="仿宋_GB2312" w:cs="方正黑体_GBK"/>
          <w:bCs/>
          <w:spacing w:val="-23"/>
          <w:sz w:val="32"/>
          <w:szCs w:val="32"/>
        </w:rPr>
      </w:pPr>
      <w:r>
        <w:rPr>
          <w:rFonts w:hint="eastAsia" w:ascii="黑体" w:hAnsi="黑体" w:eastAsia="黑体" w:cs="方正黑体_GBK"/>
          <w:bCs/>
          <w:sz w:val="32"/>
          <w:szCs w:val="32"/>
        </w:rPr>
        <w:t>六、提升花湖机场战略枢纽功能，加快打造国际自由贸易航空港</w:t>
      </w:r>
    </w:p>
    <w:p>
      <w:pPr>
        <w:widowControl/>
        <w:adjustRightInd w:val="0"/>
        <w:snapToGrid w:val="0"/>
        <w:spacing w:line="360" w:lineRule="auto"/>
        <w:ind w:firstLine="640" w:firstLineChars="200"/>
        <w:rPr>
          <w:rFonts w:ascii="仿宋_GB2312" w:hAnsi="仿宋_GB2312" w:eastAsia="仿宋_GB2312"/>
          <w:bCs/>
          <w:spacing w:val="-11"/>
          <w:sz w:val="32"/>
          <w:szCs w:val="32"/>
        </w:rPr>
      </w:pPr>
      <w:r>
        <w:rPr>
          <w:rFonts w:hint="eastAsia" w:ascii="仿宋_GB2312" w:hAnsi="仿宋_GB2312" w:eastAsia="仿宋_GB2312"/>
          <w:bCs/>
          <w:sz w:val="32"/>
          <w:szCs w:val="32"/>
        </w:rPr>
        <w:t>围绕更好发挥花湖机场战略作用、增强发展能级、提升枢纽功能，把花湖机场建设成国际自由贸易航空港，开展可行性、实务型研究，提出把花湖机场建成全国最大航空货运枢纽、把花湖机场周边区域建成最具活力的临空经济发展区的重大改革方案设计。</w:t>
      </w:r>
    </w:p>
    <w:p>
      <w:pPr>
        <w:widowControl/>
        <w:adjustRightInd w:val="0"/>
        <w:snapToGrid w:val="0"/>
        <w:spacing w:line="360" w:lineRule="auto"/>
        <w:ind w:firstLine="640" w:firstLineChars="200"/>
        <w:rPr>
          <w:rFonts w:hint="eastAsia" w:ascii="仿宋_GB2312" w:hAnsi="仿宋_GB2312" w:eastAsia="仿宋_GB2312" w:cs="方正黑体_GBK"/>
          <w:bCs/>
          <w:spacing w:val="-23"/>
          <w:sz w:val="32"/>
          <w:szCs w:val="32"/>
        </w:rPr>
      </w:pPr>
      <w:r>
        <w:rPr>
          <w:rFonts w:hint="eastAsia" w:ascii="黑体" w:hAnsi="黑体" w:eastAsia="黑体" w:cs="方正黑体_GBK"/>
          <w:bCs/>
          <w:sz w:val="32"/>
          <w:szCs w:val="32"/>
        </w:rPr>
        <w:t>七、高标准高质量推进中碳登建设，打造全国碳市场中心和碳金融中心</w:t>
      </w:r>
    </w:p>
    <w:p>
      <w:pPr>
        <w:widowControl/>
        <w:adjustRightInd w:val="0"/>
        <w:snapToGrid w:val="0"/>
        <w:spacing w:line="360" w:lineRule="auto"/>
        <w:ind w:firstLine="640" w:firstLineChars="200"/>
        <w:rPr>
          <w:rFonts w:hint="eastAsia" w:ascii="仿宋_GB2312" w:hAnsi="仿宋_GB2312" w:eastAsia="仿宋_GB2312"/>
          <w:bCs/>
          <w:spacing w:val="-23"/>
          <w:sz w:val="32"/>
          <w:szCs w:val="32"/>
        </w:rPr>
      </w:pPr>
      <w:r>
        <w:rPr>
          <w:rFonts w:hint="eastAsia" w:ascii="仿宋_GB2312" w:hAnsi="仿宋_GB2312" w:eastAsia="仿宋_GB2312" w:cs="方正仿宋_GBK"/>
          <w:bCs/>
          <w:kern w:val="0"/>
          <w:sz w:val="32"/>
          <w:szCs w:val="32"/>
          <w:lang w:bidi="ar"/>
        </w:rPr>
        <w:t>二十届三中全会对健全绿色低碳发展机制，积极稳妥推进碳达峰碳中和作出战略部署。国内碳市场建设展现激烈的竞争格局，中碳登作为全国碳市场注册登记结算中心，是拉升湖北发展高度的重大平台，加快做大做强势在必行。通过深入对比分析我省在国际、国内碳市场建设方面的基础、优势潜力及面临的挑战，紧紧围绕将中碳登打造成</w:t>
      </w:r>
      <w:r>
        <w:rPr>
          <w:rFonts w:hint="eastAsia" w:ascii="仿宋_GB2312" w:hAnsi="仿宋_GB2312" w:eastAsia="仿宋_GB2312" w:cs="方正仿宋_GBK"/>
          <w:bCs/>
          <w:spacing w:val="-23"/>
          <w:sz w:val="32"/>
          <w:szCs w:val="32"/>
        </w:rPr>
        <w:t>全国碳市场中心和碳金融中心提出切实可行的对策建议。</w:t>
      </w:r>
    </w:p>
    <w:p>
      <w:pPr>
        <w:widowControl/>
        <w:adjustRightInd w:val="0"/>
        <w:snapToGrid w:val="0"/>
        <w:spacing w:line="360" w:lineRule="auto"/>
        <w:ind w:firstLine="640" w:firstLineChars="200"/>
        <w:rPr>
          <w:rFonts w:hint="eastAsia" w:ascii="仿宋_GB2312" w:hAnsi="仿宋_GB2312" w:eastAsia="仿宋_GB2312" w:cs="方正楷体_GBK"/>
          <w:bCs/>
          <w:sz w:val="32"/>
          <w:szCs w:val="32"/>
        </w:rPr>
      </w:pPr>
      <w:r>
        <w:rPr>
          <w:rFonts w:hint="eastAsia" w:ascii="黑体" w:hAnsi="黑体" w:eastAsia="黑体" w:cs="方正黑体_GBK"/>
          <w:bCs/>
          <w:sz w:val="32"/>
          <w:szCs w:val="32"/>
        </w:rPr>
        <w:t>八、湖北引进培育大型研发中心、构建高水平人才生态研究</w:t>
      </w:r>
    </w:p>
    <w:p>
      <w:pPr>
        <w:widowControl/>
        <w:adjustRightInd w:val="0"/>
        <w:snapToGrid w:val="0"/>
        <w:spacing w:line="360" w:lineRule="auto"/>
        <w:ind w:firstLine="640" w:firstLineChars="200"/>
        <w:rPr>
          <w:rFonts w:hint="eastAsia" w:ascii="仿宋_GB2312" w:hAnsi="仿宋_GB2312" w:eastAsia="仿宋_GB2312" w:cs="方正楷体_GBK"/>
          <w:bCs/>
          <w:sz w:val="32"/>
          <w:szCs w:val="32"/>
        </w:rPr>
      </w:pPr>
      <w:r>
        <w:rPr>
          <w:rFonts w:ascii="仿宋_GB2312" w:hAnsi="仿宋_GB2312" w:eastAsia="仿宋_GB2312"/>
          <w:bCs/>
          <w:sz w:val="32"/>
          <w:szCs w:val="32"/>
        </w:rPr>
        <w:t>分析我省大型研发中心</w:t>
      </w:r>
      <w:r>
        <w:rPr>
          <w:rFonts w:hint="eastAsia" w:ascii="仿宋_GB2312" w:hAnsi="仿宋_GB2312" w:eastAsia="仿宋_GB2312"/>
          <w:bCs/>
          <w:sz w:val="32"/>
          <w:szCs w:val="32"/>
        </w:rPr>
        <w:t>建设和高水平人才生态</w:t>
      </w:r>
      <w:r>
        <w:rPr>
          <w:rFonts w:ascii="仿宋_GB2312" w:hAnsi="仿宋_GB2312" w:eastAsia="仿宋_GB2312"/>
          <w:bCs/>
          <w:sz w:val="32"/>
          <w:szCs w:val="32"/>
        </w:rPr>
        <w:t>现状，提出</w:t>
      </w:r>
      <w:r>
        <w:rPr>
          <w:rFonts w:hint="eastAsia" w:ascii="仿宋_GB2312" w:hAnsi="仿宋_GB2312" w:eastAsia="仿宋_GB2312"/>
          <w:bCs/>
          <w:sz w:val="32"/>
          <w:szCs w:val="32"/>
        </w:rPr>
        <w:t>依托湖北特有的科教大省优势</w:t>
      </w:r>
      <w:r>
        <w:rPr>
          <w:rFonts w:ascii="仿宋_GB2312" w:hAnsi="仿宋_GB2312" w:eastAsia="仿宋_GB2312"/>
          <w:bCs/>
          <w:sz w:val="32"/>
          <w:szCs w:val="32"/>
        </w:rPr>
        <w:t>，以高能级大型研发平台汇聚高水平人才</w:t>
      </w:r>
      <w:r>
        <w:rPr>
          <w:rFonts w:hint="eastAsia" w:ascii="仿宋_GB2312" w:hAnsi="仿宋_GB2312" w:eastAsia="仿宋_GB2312"/>
          <w:bCs/>
          <w:sz w:val="32"/>
          <w:szCs w:val="32"/>
        </w:rPr>
        <w:t>、完善高水平人才生态</w:t>
      </w:r>
      <w:r>
        <w:rPr>
          <w:rFonts w:ascii="仿宋_GB2312" w:hAnsi="仿宋_GB2312" w:eastAsia="仿宋_GB2312"/>
          <w:bCs/>
          <w:sz w:val="32"/>
          <w:szCs w:val="32"/>
        </w:rPr>
        <w:t>的思路及政策建议。</w:t>
      </w:r>
    </w:p>
    <w:p>
      <w:pPr>
        <w:adjustRightInd w:val="0"/>
        <w:snapToGrid w:val="0"/>
        <w:spacing w:line="360" w:lineRule="auto"/>
        <w:ind w:firstLine="640" w:firstLineChars="200"/>
        <w:rPr>
          <w:rFonts w:hint="eastAsia" w:ascii="黑体" w:hAnsi="黑体" w:eastAsia="黑体" w:cs="方正黑体_GBK"/>
          <w:bCs/>
          <w:sz w:val="32"/>
          <w:szCs w:val="32"/>
        </w:rPr>
      </w:pPr>
      <w:r>
        <w:rPr>
          <w:rFonts w:hint="eastAsia" w:ascii="黑体" w:hAnsi="黑体" w:eastAsia="黑体" w:cs="方正黑体_GBK"/>
          <w:bCs/>
          <w:sz w:val="32"/>
          <w:szCs w:val="32"/>
        </w:rPr>
        <w:t>九、推进高水平开放合作，扩大湖北境外影响力</w:t>
      </w:r>
    </w:p>
    <w:p>
      <w:pPr>
        <w:adjustRightInd w:val="0"/>
        <w:snapToGrid w:val="0"/>
        <w:spacing w:line="360" w:lineRule="auto"/>
        <w:ind w:firstLine="640" w:firstLineChars="200"/>
        <w:rPr>
          <w:rFonts w:hint="eastAsia" w:ascii="仿宋_GB2312" w:hAnsi="仿宋_GB2312" w:eastAsia="仿宋_GB2312"/>
          <w:bCs/>
          <w:spacing w:val="-11"/>
          <w:sz w:val="32"/>
          <w:szCs w:val="32"/>
        </w:rPr>
      </w:pPr>
      <w:r>
        <w:rPr>
          <w:rFonts w:hint="eastAsia" w:ascii="仿宋_GB2312" w:hAnsi="仿宋_GB2312" w:eastAsia="仿宋_GB2312" w:cs="方正仿宋_GBK"/>
          <w:bCs/>
          <w:sz w:val="32"/>
          <w:szCs w:val="32"/>
        </w:rPr>
        <w:t>紧紧围绕</w:t>
      </w:r>
      <w:r>
        <w:rPr>
          <w:rFonts w:hint="eastAsia" w:ascii="仿宋_GB2312" w:hAnsi="仿宋_GB2312" w:eastAsia="仿宋_GB2312" w:cs="方正仿宋_GBK"/>
          <w:bCs/>
          <w:kern w:val="0"/>
          <w:sz w:val="32"/>
          <w:szCs w:val="32"/>
          <w:lang w:bidi="ar"/>
        </w:rPr>
        <w:t>提升对外形象、增强湖北“软实力”，立足湖北扩大境外影响力的比较优势，深入剖析湖北扩大境外影响力的制约因素，就持续加强国际、国内高水平交流合作，以大合作促大开放、以大开放促大发展提出有针对性和可操作性的对策建议。</w:t>
      </w:r>
    </w:p>
    <w:p>
      <w:pPr>
        <w:widowControl/>
        <w:adjustRightInd w:val="0"/>
        <w:snapToGrid w:val="0"/>
        <w:spacing w:line="360" w:lineRule="auto"/>
        <w:ind w:firstLine="640" w:firstLineChars="200"/>
        <w:rPr>
          <w:rFonts w:hint="eastAsia" w:ascii="仿宋_GB2312" w:hAnsi="仿宋_GB2312" w:eastAsia="仿宋_GB2312" w:cs="方正楷体_GBK"/>
          <w:bCs/>
          <w:sz w:val="32"/>
          <w:szCs w:val="32"/>
        </w:rPr>
      </w:pPr>
      <w:r>
        <w:rPr>
          <w:rFonts w:hint="eastAsia" w:ascii="黑体" w:hAnsi="黑体" w:eastAsia="黑体" w:cs="方正黑体_GBK"/>
          <w:bCs/>
          <w:sz w:val="32"/>
          <w:szCs w:val="32"/>
        </w:rPr>
        <w:t>十、推动湖北企业出海的路径与对策</w:t>
      </w:r>
    </w:p>
    <w:p>
      <w:pPr>
        <w:widowControl/>
        <w:adjustRightInd w:val="0"/>
        <w:snapToGrid w:val="0"/>
        <w:spacing w:line="360" w:lineRule="auto"/>
        <w:ind w:firstLine="640" w:firstLineChars="200"/>
        <w:rPr>
          <w:rFonts w:hint="eastAsia" w:ascii="仿宋_GB2312" w:hAnsi="仿宋_GB2312" w:eastAsia="仿宋_GB2312"/>
          <w:bCs/>
          <w:spacing w:val="-23"/>
          <w:sz w:val="32"/>
          <w:szCs w:val="32"/>
        </w:rPr>
      </w:pPr>
      <w:r>
        <w:rPr>
          <w:rFonts w:hint="eastAsia" w:ascii="仿宋_GB2312" w:hAnsi="仿宋_GB2312" w:eastAsia="仿宋_GB2312" w:cs="方正仿宋_GBK"/>
          <w:bCs/>
          <w:sz w:val="32"/>
          <w:szCs w:val="32"/>
        </w:rPr>
        <w:t>围绕</w:t>
      </w:r>
      <w:r>
        <w:rPr>
          <w:rFonts w:hint="eastAsia" w:ascii="仿宋_GB2312" w:hAnsi="仿宋_GB2312" w:eastAsia="仿宋_GB2312" w:cs="方正仿宋_GBK"/>
          <w:bCs/>
          <w:kern w:val="0"/>
          <w:sz w:val="32"/>
          <w:szCs w:val="32"/>
          <w:lang w:bidi="ar"/>
        </w:rPr>
        <w:t>加快推进湖北企业出海，推进生产全球化布局，形成国际化产业链和供应链体系，增强全球市场竞争力，加快构建双循环新发展格局，分析湖北企业出海情况，梳理存在的主要问题和制约因素，提出推动湖北企业出海的具体对策建议。</w:t>
      </w:r>
    </w:p>
    <w:p>
      <w:pPr>
        <w:widowControl/>
        <w:adjustRightInd w:val="0"/>
        <w:snapToGrid w:val="0"/>
        <w:spacing w:line="360" w:lineRule="auto"/>
        <w:ind w:firstLine="640" w:firstLineChars="200"/>
        <w:rPr>
          <w:rFonts w:hint="eastAsia" w:ascii="黑体" w:hAnsi="黑体" w:eastAsia="黑体"/>
          <w:bCs/>
          <w:kern w:val="0"/>
          <w:sz w:val="32"/>
          <w:szCs w:val="32"/>
          <w:lang w:bidi="ar"/>
        </w:rPr>
      </w:pPr>
      <w:r>
        <w:rPr>
          <w:rFonts w:hint="eastAsia" w:ascii="黑体" w:hAnsi="黑体" w:eastAsia="黑体" w:cs="方正黑体_GBK"/>
          <w:bCs/>
          <w:sz w:val="32"/>
          <w:szCs w:val="32"/>
        </w:rPr>
        <w:t>十一、</w:t>
      </w:r>
      <w:r>
        <w:rPr>
          <w:rFonts w:hint="eastAsia" w:ascii="黑体" w:hAnsi="黑体" w:eastAsia="黑体"/>
          <w:bCs/>
          <w:kern w:val="0"/>
          <w:sz w:val="32"/>
          <w:szCs w:val="32"/>
          <w:lang w:bidi="ar"/>
        </w:rPr>
        <w:t>湖北提升承接产业转移能力研究</w:t>
      </w:r>
    </w:p>
    <w:p>
      <w:pPr>
        <w:widowControl/>
        <w:adjustRightInd w:val="0"/>
        <w:snapToGrid w:val="0"/>
        <w:spacing w:line="360" w:lineRule="auto"/>
        <w:rPr>
          <w:rFonts w:hint="eastAsia" w:ascii="仿宋_GB2312" w:hAnsi="仿宋_GB2312" w:eastAsia="仿宋_GB2312"/>
          <w:bCs/>
          <w:spacing w:val="-23"/>
          <w:sz w:val="32"/>
          <w:szCs w:val="32"/>
        </w:rPr>
      </w:pPr>
      <w:r>
        <w:rPr>
          <w:rFonts w:hint="eastAsia" w:ascii="仿宋_GB2312" w:hAnsi="仿宋_GB2312" w:eastAsia="仿宋_GB2312" w:cs="CESI仿宋-GB2312"/>
          <w:bCs/>
          <w:kern w:val="0"/>
          <w:sz w:val="32"/>
          <w:szCs w:val="32"/>
          <w:lang w:bidi="ar"/>
        </w:rPr>
        <w:t xml:space="preserve">    分析湖北在承接国内外产业转移过程中所具备优势与面临挑战，提出优化产业承接环境具体措施，利用湖北区位优势和资源禀赋，吸引优质产业和企业落户湖北，推动经济结构调整和高质量发展，助力湖北在新一轮产业转移中抢占先机，提升在全国经济版图中地位和影响力。</w:t>
      </w:r>
    </w:p>
    <w:p>
      <w:pPr>
        <w:widowControl/>
        <w:adjustRightInd w:val="0"/>
        <w:snapToGrid w:val="0"/>
        <w:spacing w:line="360" w:lineRule="auto"/>
        <w:ind w:firstLine="640" w:firstLineChars="200"/>
        <w:rPr>
          <w:rFonts w:hint="eastAsia" w:ascii="仿宋_GB2312" w:hAnsi="仿宋_GB2312" w:eastAsia="仿宋_GB2312" w:cs="方正楷体_GBK"/>
          <w:bCs/>
          <w:sz w:val="32"/>
          <w:szCs w:val="32"/>
        </w:rPr>
      </w:pPr>
      <w:r>
        <w:rPr>
          <w:rFonts w:hint="eastAsia" w:ascii="黑体" w:hAnsi="黑体" w:eastAsia="黑体" w:cs="方正黑体_GBK"/>
          <w:bCs/>
          <w:sz w:val="32"/>
          <w:szCs w:val="32"/>
        </w:rPr>
        <w:t>十二、深化湖北城市建设运营治理体制改革，加快转变城市发展方式</w:t>
      </w:r>
    </w:p>
    <w:p>
      <w:pPr>
        <w:widowControl/>
        <w:adjustRightInd w:val="0"/>
        <w:snapToGrid w:val="0"/>
        <w:spacing w:line="360" w:lineRule="auto"/>
        <w:ind w:firstLine="640" w:firstLineChars="200"/>
        <w:rPr>
          <w:rFonts w:hint="eastAsia" w:ascii="仿宋_GB2312" w:hAnsi="仿宋_GB2312" w:eastAsia="仿宋_GB2312" w:cs="CESI仿宋-GB2312"/>
          <w:bCs/>
          <w:kern w:val="0"/>
          <w:sz w:val="32"/>
          <w:szCs w:val="32"/>
          <w:lang w:bidi="ar"/>
        </w:rPr>
      </w:pPr>
      <w:r>
        <w:rPr>
          <w:rFonts w:hint="eastAsia" w:ascii="仿宋_GB2312" w:hAnsi="仿宋_GB2312" w:eastAsia="仿宋_GB2312" w:cs="方正仿宋_GBK"/>
          <w:bCs/>
          <w:sz w:val="32"/>
          <w:szCs w:val="32"/>
        </w:rPr>
        <w:t>分析当前湖北城市建设运营治理体制运行中的短板，</w:t>
      </w:r>
      <w:r>
        <w:rPr>
          <w:rFonts w:hint="eastAsia" w:ascii="仿宋_GB2312" w:hAnsi="仿宋_GB2312" w:eastAsia="仿宋_GB2312" w:cs="方正仿宋_GBK"/>
          <w:bCs/>
          <w:kern w:val="0"/>
          <w:sz w:val="32"/>
          <w:szCs w:val="32"/>
          <w:lang w:bidi="ar"/>
        </w:rPr>
        <w:t>正视困难和问题，用改革的思路谋划城市建设运营治理体制改革，通过理念、方式更新以及机制体制改革，提出与湖北经济社会发展相适应的具体改革举措，加快转变城市发展方式。</w:t>
      </w:r>
    </w:p>
    <w:p>
      <w:pPr>
        <w:widowControl/>
        <w:adjustRightInd w:val="0"/>
        <w:snapToGrid w:val="0"/>
        <w:spacing w:line="360" w:lineRule="auto"/>
        <w:ind w:firstLine="640" w:firstLineChars="200"/>
        <w:rPr>
          <w:rFonts w:hint="eastAsia" w:ascii="仿宋_GB2312" w:hAnsi="仿宋_GB2312" w:eastAsia="仿宋_GB2312" w:cs="方正楷体_GBK"/>
          <w:bCs/>
          <w:sz w:val="32"/>
          <w:szCs w:val="32"/>
        </w:rPr>
      </w:pPr>
      <w:r>
        <w:rPr>
          <w:rFonts w:hint="eastAsia" w:ascii="黑体" w:hAnsi="黑体" w:eastAsia="黑体"/>
          <w:bCs/>
          <w:kern w:val="0"/>
          <w:sz w:val="32"/>
          <w:szCs w:val="32"/>
          <w:lang w:val="en" w:bidi="ar"/>
        </w:rPr>
        <w:t>十三、</w:t>
      </w:r>
      <w:r>
        <w:rPr>
          <w:rFonts w:hint="eastAsia" w:ascii="黑体" w:hAnsi="黑体" w:eastAsia="黑体" w:cs="方正黑体_GBK"/>
          <w:bCs/>
          <w:sz w:val="32"/>
          <w:szCs w:val="32"/>
        </w:rPr>
        <w:t>促进湖北科技金融高质量发展的策略与路径研究</w:t>
      </w:r>
    </w:p>
    <w:p>
      <w:pPr>
        <w:widowControl/>
        <w:adjustRightInd w:val="0"/>
        <w:snapToGrid w:val="0"/>
        <w:spacing w:line="360" w:lineRule="auto"/>
        <w:ind w:firstLine="640" w:firstLineChars="200"/>
        <w:rPr>
          <w:rFonts w:hint="eastAsia" w:ascii="仿宋_GB2312" w:hAnsi="仿宋_GB2312" w:eastAsia="仿宋_GB2312" w:cs="CESI仿宋-GB2312"/>
          <w:bCs/>
          <w:kern w:val="0"/>
          <w:sz w:val="32"/>
          <w:szCs w:val="32"/>
          <w:lang w:bidi="ar"/>
        </w:rPr>
      </w:pPr>
      <w:r>
        <w:rPr>
          <w:rFonts w:ascii="仿宋_GB2312" w:hAnsi="仿宋_GB2312" w:eastAsia="仿宋_GB2312"/>
          <w:bCs/>
          <w:sz w:val="32"/>
          <w:szCs w:val="32"/>
        </w:rPr>
        <w:t>贯彻中央金融工作会议关于做好</w:t>
      </w:r>
      <w:r>
        <w:rPr>
          <w:rFonts w:hint="eastAsia" w:ascii="仿宋_GB2312" w:hAnsi="仿宋_GB2312" w:eastAsia="仿宋_GB2312" w:cs="仿宋"/>
          <w:bCs/>
          <w:sz w:val="32"/>
          <w:szCs w:val="32"/>
        </w:rPr>
        <w:t>“科技金融”</w:t>
      </w:r>
      <w:r>
        <w:rPr>
          <w:rFonts w:ascii="仿宋_GB2312" w:hAnsi="仿宋_GB2312" w:eastAsia="仿宋_GB2312"/>
          <w:bCs/>
          <w:sz w:val="32"/>
          <w:szCs w:val="32"/>
        </w:rPr>
        <w:t>大文章精神，分析当前湖北科技金融发展现状、面临的困难和挑战，从科技金融体系、政策、模式、产品等方面</w:t>
      </w:r>
      <w:r>
        <w:rPr>
          <w:rFonts w:hint="eastAsia" w:ascii="仿宋_GB2312" w:hAnsi="仿宋_GB2312" w:eastAsia="仿宋_GB2312"/>
          <w:bCs/>
          <w:sz w:val="32"/>
          <w:szCs w:val="32"/>
        </w:rPr>
        <w:t>，</w:t>
      </w:r>
      <w:r>
        <w:rPr>
          <w:rFonts w:ascii="仿宋_GB2312" w:hAnsi="仿宋_GB2312" w:eastAsia="仿宋_GB2312"/>
          <w:bCs/>
          <w:sz w:val="32"/>
          <w:szCs w:val="32"/>
        </w:rPr>
        <w:t>提出对策建议</w:t>
      </w:r>
      <w:r>
        <w:rPr>
          <w:rFonts w:hint="eastAsia" w:ascii="仿宋_GB2312" w:hAnsi="仿宋_GB2312" w:eastAsia="仿宋_GB2312"/>
          <w:bCs/>
          <w:sz w:val="32"/>
          <w:szCs w:val="32"/>
        </w:rPr>
        <w:t>，</w:t>
      </w:r>
      <w:r>
        <w:rPr>
          <w:rFonts w:ascii="仿宋_GB2312" w:hAnsi="仿宋_GB2312" w:eastAsia="仿宋_GB2312"/>
          <w:bCs/>
          <w:sz w:val="32"/>
          <w:szCs w:val="32"/>
        </w:rPr>
        <w:t>助推我省高水平科技自立自强。</w:t>
      </w:r>
    </w:p>
    <w:p>
      <w:pPr>
        <w:widowControl/>
        <w:adjustRightInd w:val="0"/>
        <w:snapToGrid w:val="0"/>
        <w:spacing w:line="360" w:lineRule="auto"/>
        <w:ind w:firstLine="640" w:firstLineChars="200"/>
        <w:rPr>
          <w:rFonts w:hint="eastAsia" w:ascii="仿宋_GB2312" w:hAnsi="仿宋_GB2312" w:eastAsia="仿宋_GB2312" w:cs="方正楷体_GBK"/>
          <w:bCs/>
          <w:sz w:val="32"/>
          <w:szCs w:val="32"/>
        </w:rPr>
      </w:pPr>
      <w:r>
        <w:rPr>
          <w:rFonts w:hint="eastAsia" w:ascii="黑体" w:hAnsi="黑体" w:eastAsia="黑体"/>
          <w:bCs/>
          <w:kern w:val="0"/>
          <w:sz w:val="32"/>
          <w:szCs w:val="32"/>
          <w:lang w:bidi="ar"/>
        </w:rPr>
        <w:t>十四、</w:t>
      </w:r>
      <w:r>
        <w:rPr>
          <w:rFonts w:hint="eastAsia" w:ascii="黑体" w:hAnsi="黑体" w:eastAsia="黑体" w:cs="方正黑体_GBK"/>
          <w:bCs/>
          <w:sz w:val="32"/>
          <w:szCs w:val="32"/>
        </w:rPr>
        <w:t>双碳经济发展中的湖北金融创新研究</w:t>
      </w:r>
    </w:p>
    <w:p>
      <w:pPr>
        <w:widowControl/>
        <w:adjustRightInd w:val="0"/>
        <w:snapToGrid w:val="0"/>
        <w:spacing w:line="360" w:lineRule="auto"/>
        <w:ind w:firstLine="640" w:firstLineChars="200"/>
        <w:rPr>
          <w:rFonts w:hint="eastAsia" w:ascii="仿宋_GB2312" w:hAnsi="仿宋_GB2312" w:eastAsia="仿宋_GB2312" w:cs="CESI仿宋-GB2312"/>
          <w:bCs/>
          <w:kern w:val="0"/>
          <w:sz w:val="32"/>
          <w:szCs w:val="32"/>
          <w:lang w:bidi="ar"/>
        </w:rPr>
      </w:pPr>
      <w:r>
        <w:rPr>
          <w:rFonts w:ascii="仿宋_GB2312" w:hAnsi="仿宋_GB2312" w:eastAsia="仿宋_GB2312"/>
          <w:bCs/>
          <w:sz w:val="32"/>
          <w:szCs w:val="32"/>
        </w:rPr>
        <w:t>梳理当前双碳经济发展中我省金融创新的总体情况、发展趋势和主要问题，研究提出在</w:t>
      </w:r>
      <w:r>
        <w:rPr>
          <w:rFonts w:hint="eastAsia" w:ascii="仿宋_GB2312" w:hAnsi="仿宋_GB2312" w:eastAsia="仿宋_GB2312"/>
          <w:bCs/>
          <w:sz w:val="32"/>
          <w:szCs w:val="32"/>
        </w:rPr>
        <w:t>“</w:t>
      </w:r>
      <w:r>
        <w:rPr>
          <w:rFonts w:ascii="仿宋_GB2312" w:hAnsi="仿宋_GB2312" w:eastAsia="仿宋_GB2312"/>
          <w:bCs/>
          <w:sz w:val="32"/>
          <w:szCs w:val="32"/>
        </w:rPr>
        <w:t>双碳</w:t>
      </w:r>
      <w:r>
        <w:rPr>
          <w:rFonts w:hint="eastAsia" w:ascii="仿宋_GB2312" w:hAnsi="仿宋_GB2312" w:eastAsia="仿宋_GB2312"/>
          <w:bCs/>
          <w:sz w:val="32"/>
          <w:szCs w:val="32"/>
        </w:rPr>
        <w:t>”</w:t>
      </w:r>
      <w:r>
        <w:rPr>
          <w:rFonts w:ascii="仿宋_GB2312" w:hAnsi="仿宋_GB2312" w:eastAsia="仿宋_GB2312"/>
          <w:bCs/>
          <w:sz w:val="32"/>
          <w:szCs w:val="32"/>
        </w:rPr>
        <w:t>目标下推动湖北金融创新，特别是创新与碳排放权挂钩的金融产品及交易方式</w:t>
      </w:r>
      <w:r>
        <w:rPr>
          <w:rFonts w:hint="eastAsia" w:ascii="仿宋_GB2312" w:hAnsi="仿宋_GB2312" w:eastAsia="仿宋_GB2312"/>
          <w:bCs/>
          <w:sz w:val="32"/>
          <w:szCs w:val="32"/>
        </w:rPr>
        <w:t>，</w:t>
      </w:r>
      <w:r>
        <w:rPr>
          <w:rFonts w:ascii="仿宋_GB2312" w:hAnsi="仿宋_GB2312" w:eastAsia="仿宋_GB2312"/>
          <w:bCs/>
          <w:sz w:val="32"/>
          <w:szCs w:val="32"/>
        </w:rPr>
        <w:t>积极支持绿色低碳</w:t>
      </w:r>
      <w:r>
        <w:rPr>
          <w:rFonts w:hint="eastAsia" w:ascii="仿宋_GB2312" w:hAnsi="仿宋_GB2312" w:eastAsia="仿宋_GB2312"/>
          <w:bCs/>
          <w:sz w:val="32"/>
          <w:szCs w:val="32"/>
        </w:rPr>
        <w:t>发</w:t>
      </w:r>
      <w:r>
        <w:rPr>
          <w:rFonts w:ascii="仿宋_GB2312" w:hAnsi="仿宋_GB2312" w:eastAsia="仿宋_GB2312"/>
          <w:bCs/>
          <w:sz w:val="32"/>
          <w:szCs w:val="32"/>
        </w:rPr>
        <w:t>展的路径举措。</w:t>
      </w:r>
    </w:p>
    <w:p>
      <w:pPr>
        <w:widowControl/>
        <w:adjustRightInd w:val="0"/>
        <w:snapToGrid w:val="0"/>
        <w:spacing w:line="360" w:lineRule="auto"/>
        <w:ind w:firstLine="640" w:firstLineChars="200"/>
        <w:rPr>
          <w:rFonts w:hint="eastAsia" w:ascii="仿宋_GB2312" w:hAnsi="仿宋_GB2312" w:eastAsia="仿宋_GB2312"/>
          <w:bCs/>
          <w:sz w:val="32"/>
          <w:szCs w:val="32"/>
        </w:rPr>
      </w:pPr>
      <w:r>
        <w:rPr>
          <w:rFonts w:hint="eastAsia" w:ascii="黑体" w:hAnsi="黑体" w:eastAsia="黑体"/>
          <w:bCs/>
          <w:kern w:val="0"/>
          <w:sz w:val="32"/>
          <w:szCs w:val="32"/>
          <w:lang w:bidi="ar"/>
        </w:rPr>
        <w:t>十五、</w:t>
      </w:r>
      <w:r>
        <w:rPr>
          <w:rFonts w:hint="eastAsia" w:ascii="黑体" w:hAnsi="黑体" w:eastAsia="黑体" w:cs="方正黑体_GBK"/>
          <w:bCs/>
          <w:sz w:val="32"/>
          <w:szCs w:val="32"/>
        </w:rPr>
        <w:t>以“人工智能+”引领现代化产业体系建设赋能湖北新型工业化</w:t>
      </w:r>
      <w:r>
        <w:rPr>
          <w:rFonts w:hint="eastAsia" w:ascii="仿宋_GB2312" w:hAnsi="仿宋_GB2312" w:eastAsia="仿宋_GB2312" w:cs="方正黑体_GBK"/>
          <w:bCs/>
          <w:spacing w:val="-40"/>
          <w:sz w:val="32"/>
          <w:szCs w:val="32"/>
        </w:rPr>
        <w:t xml:space="preserve"> </w:t>
      </w:r>
    </w:p>
    <w:p>
      <w:pPr>
        <w:widowControl/>
        <w:adjustRightInd w:val="0"/>
        <w:snapToGrid w:val="0"/>
        <w:spacing w:line="360" w:lineRule="auto"/>
        <w:ind w:firstLine="640" w:firstLineChars="200"/>
        <w:rPr>
          <w:rFonts w:hint="eastAsia" w:ascii="仿宋_GB2312" w:hAnsi="仿宋_GB2312" w:eastAsia="仿宋_GB2312"/>
          <w:bCs/>
          <w:spacing w:val="-23"/>
          <w:sz w:val="32"/>
          <w:szCs w:val="32"/>
        </w:rPr>
      </w:pPr>
      <w:r>
        <w:rPr>
          <w:rFonts w:ascii="仿宋_GB2312" w:hAnsi="仿宋_GB2312" w:eastAsia="仿宋_GB2312"/>
          <w:bCs/>
          <w:sz w:val="32"/>
          <w:szCs w:val="32"/>
        </w:rPr>
        <w:t>分析人工智能技术变革推动产业发展趋势，</w:t>
      </w:r>
      <w:r>
        <w:rPr>
          <w:rFonts w:hint="eastAsia" w:ascii="仿宋_GB2312" w:hAnsi="仿宋_GB2312" w:eastAsia="仿宋_GB2312"/>
          <w:bCs/>
          <w:sz w:val="32"/>
          <w:szCs w:val="32"/>
        </w:rPr>
        <w:t>研究</w:t>
      </w:r>
      <w:r>
        <w:rPr>
          <w:rFonts w:ascii="仿宋_GB2312" w:hAnsi="仿宋_GB2312" w:eastAsia="仿宋_GB2312"/>
          <w:bCs/>
          <w:sz w:val="32"/>
          <w:szCs w:val="32"/>
        </w:rPr>
        <w:t>其对</w:t>
      </w:r>
      <w:r>
        <w:rPr>
          <w:rFonts w:hint="eastAsia" w:ascii="仿宋_GB2312" w:hAnsi="仿宋_GB2312" w:eastAsia="仿宋_GB2312"/>
          <w:bCs/>
          <w:sz w:val="32"/>
          <w:szCs w:val="32"/>
        </w:rPr>
        <w:t>湖北</w:t>
      </w:r>
      <w:r>
        <w:rPr>
          <w:rFonts w:ascii="仿宋_GB2312" w:hAnsi="仿宋_GB2312" w:eastAsia="仿宋_GB2312"/>
          <w:bCs/>
          <w:sz w:val="32"/>
          <w:szCs w:val="32"/>
        </w:rPr>
        <w:t>建设现代化产业体系的</w:t>
      </w:r>
      <w:r>
        <w:rPr>
          <w:rFonts w:hint="eastAsia" w:ascii="仿宋_GB2312" w:hAnsi="仿宋_GB2312" w:eastAsia="仿宋_GB2312"/>
          <w:bCs/>
          <w:sz w:val="32"/>
          <w:szCs w:val="32"/>
        </w:rPr>
        <w:t>重大</w:t>
      </w:r>
      <w:r>
        <w:rPr>
          <w:rFonts w:ascii="仿宋_GB2312" w:hAnsi="仿宋_GB2312" w:eastAsia="仿宋_GB2312"/>
          <w:bCs/>
          <w:sz w:val="32"/>
          <w:szCs w:val="32"/>
        </w:rPr>
        <w:t>影响，</w:t>
      </w:r>
      <w:r>
        <w:rPr>
          <w:rFonts w:hint="eastAsia" w:ascii="仿宋_GB2312" w:hAnsi="仿宋_GB2312" w:eastAsia="仿宋_GB2312"/>
          <w:bCs/>
          <w:sz w:val="32"/>
          <w:szCs w:val="32"/>
        </w:rPr>
        <w:t>并</w:t>
      </w:r>
      <w:r>
        <w:rPr>
          <w:rFonts w:ascii="仿宋_GB2312" w:hAnsi="仿宋_GB2312" w:eastAsia="仿宋_GB2312"/>
          <w:bCs/>
          <w:sz w:val="32"/>
          <w:szCs w:val="32"/>
        </w:rPr>
        <w:t>提出</w:t>
      </w:r>
      <w:r>
        <w:rPr>
          <w:rFonts w:hint="eastAsia" w:ascii="仿宋_GB2312" w:hAnsi="仿宋_GB2312" w:eastAsia="仿宋_GB2312"/>
          <w:bCs/>
          <w:sz w:val="32"/>
          <w:szCs w:val="32"/>
        </w:rPr>
        <w:t>因应之</w:t>
      </w:r>
      <w:r>
        <w:rPr>
          <w:rFonts w:ascii="仿宋_GB2312" w:hAnsi="仿宋_GB2312" w:eastAsia="仿宋_GB2312"/>
          <w:bCs/>
          <w:sz w:val="32"/>
          <w:szCs w:val="32"/>
        </w:rPr>
        <w:t>策，</w:t>
      </w:r>
      <w:r>
        <w:rPr>
          <w:rFonts w:hint="eastAsia" w:ascii="仿宋_GB2312" w:hAnsi="仿宋_GB2312" w:eastAsia="仿宋_GB2312"/>
          <w:bCs/>
          <w:sz w:val="32"/>
          <w:szCs w:val="32"/>
        </w:rPr>
        <w:t>以人工智能赋能优势产业，促进我省产业体系智能化转型，</w:t>
      </w:r>
      <w:r>
        <w:rPr>
          <w:rFonts w:ascii="仿宋_GB2312" w:hAnsi="仿宋_GB2312" w:eastAsia="仿宋_GB2312"/>
          <w:bCs/>
          <w:sz w:val="32"/>
          <w:szCs w:val="32"/>
        </w:rPr>
        <w:t>加快建设国家人工智能创新核心区和应用先导区</w:t>
      </w:r>
      <w:r>
        <w:rPr>
          <w:rFonts w:hint="eastAsia" w:ascii="仿宋_GB2312" w:hAnsi="仿宋_GB2312" w:eastAsia="仿宋_GB2312"/>
          <w:bCs/>
          <w:sz w:val="32"/>
          <w:szCs w:val="32"/>
        </w:rPr>
        <w:t>，奋力打造全国人工智能产业发展高地</w:t>
      </w:r>
      <w:r>
        <w:rPr>
          <w:rFonts w:ascii="仿宋_GB2312" w:hAnsi="仿宋_GB2312" w:eastAsia="仿宋_GB2312"/>
          <w:bCs/>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1AB67BF4"/>
    <w:rsid w:val="1AB6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next w:val="1"/>
    <w:qFormat/>
    <w:uiPriority w:val="0"/>
    <w:pPr>
      <w:widowControl w:val="0"/>
      <w:adjustRightInd w:val="0"/>
      <w:snapToGrid w:val="0"/>
      <w:spacing w:line="640" w:lineRule="exact"/>
      <w:ind w:firstLine="420" w:firstLineChars="200"/>
      <w:jc w:val="both"/>
    </w:pPr>
    <w:rPr>
      <w:rFonts w:ascii="Times New Roman" w:hAnsi="Times New Roman" w:eastAsia="仿宋_GB2312" w:cs="Times New Roman"/>
      <w:kern w:val="2"/>
      <w:sz w:val="36"/>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2024-11-07T02:53:00Z</dcterms:created>
  <dc:creator>:^*</dc:creator>
  <cp:lastModifiedBy>:^*</cp:lastModifiedBy>
  <dcterms:modified xsi:type="dcterms:W3CDTF">2024-11-07T02:53:56Z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9E8D2C8AA98D4BB9924E2464F2A4C040_11</vt:lpwstr>
  </property>
</Properties>
</file>