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2023年度湖北省高等教育学会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" w:firstLineChars="100"/>
        <w:jc w:val="center"/>
        <w:textAlignment w:val="auto"/>
        <w:rPr>
          <w:rFonts w:ascii="Times New Roman" w:hAnsi="Times New Roman" w:eastAsia="华文中宋"/>
          <w:snapToGrid w:val="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教育科研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6"/>
          <w:szCs w:val="36"/>
        </w:rPr>
        <w:t>课题申报指南</w:t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学术成果计划项目：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1. 中国式现代化与湖北高等教育高质量发展研究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2. 大中小学思政课一体化建设研究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3. 高校数字化教学科研平台建设与运行机制研究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4. 数字化转型与高校教学模式创新研究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5. 高校教师数字素养提升路径研究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6. 湖北特色高质量数字教材建设研究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7. 高校教师教学创新团队建设研究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8. 新高考背景下高中与大学教育有效衔接研究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9. 湖北高教优势转化为创新优势、发展优势研究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10. 本科高校专业动态调整机制和优化路径研究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  <w:spacing w:val="-6"/>
        </w:rPr>
      </w:pPr>
      <w:r>
        <w:rPr>
          <w:rStyle w:val="5"/>
          <w:rFonts w:hint="default" w:ascii="仿宋_GB2312" w:hAnsi="仿宋_GB2312" w:eastAsia="仿宋_GB2312" w:cs="仿宋_GB2312"/>
        </w:rPr>
        <w:t xml:space="preserve">11. </w:t>
      </w:r>
      <w:r>
        <w:rPr>
          <w:rStyle w:val="5"/>
          <w:rFonts w:hint="default" w:ascii="仿宋_GB2312" w:hAnsi="仿宋_GB2312" w:eastAsia="仿宋_GB2312" w:cs="仿宋_GB2312"/>
          <w:spacing w:val="-6"/>
        </w:rPr>
        <w:t>服务区域发展的湖北高校特色专业集群建设实践研究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12. 构建湖北特色教育发展新格局的内涵及策略研究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14. 高校“四新”专业建设与评价研究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15. 湖北高校一流学科建设与发展路径研究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  <w:spacing w:val="-20"/>
          <w:sz w:val="32"/>
        </w:rPr>
      </w:pPr>
      <w:r>
        <w:rPr>
          <w:rStyle w:val="5"/>
          <w:rFonts w:hint="default" w:ascii="仿宋_GB2312" w:hAnsi="仿宋_GB2312" w:eastAsia="仿宋_GB2312" w:cs="仿宋_GB2312"/>
        </w:rPr>
        <w:t xml:space="preserve">16. </w:t>
      </w:r>
      <w:bookmarkStart w:id="0" w:name="_GoBack"/>
      <w:r>
        <w:rPr>
          <w:rStyle w:val="5"/>
          <w:rFonts w:hint="default" w:ascii="仿宋_GB2312" w:hAnsi="仿宋_GB2312" w:eastAsia="仿宋_GB2312" w:cs="仿宋_GB2312"/>
          <w:spacing w:val="-20"/>
          <w:sz w:val="32"/>
        </w:rPr>
        <w:t>新发展格局下高等职业教育产教深度融合效能评价研究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  <w:spacing w:val="-6"/>
        </w:rPr>
      </w:pPr>
      <w:r>
        <w:rPr>
          <w:rStyle w:val="5"/>
          <w:rFonts w:hint="default" w:ascii="仿宋_GB2312" w:hAnsi="仿宋_GB2312" w:eastAsia="仿宋_GB2312" w:cs="仿宋_GB2312"/>
        </w:rPr>
        <w:t xml:space="preserve">17. </w:t>
      </w:r>
      <w:r>
        <w:rPr>
          <w:rStyle w:val="5"/>
          <w:rFonts w:hint="default" w:ascii="仿宋_GB2312" w:hAnsi="仿宋_GB2312" w:eastAsia="仿宋_GB2312" w:cs="仿宋_GB2312"/>
          <w:spacing w:val="-6"/>
        </w:rPr>
        <w:t>湖北高等职业教育专业设置与区域发展协调机制研究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18. 职业本科课程开发的机理与实施策略研究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19. 民办院校规范化特色发展路径研究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textAlignment w:val="auto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20. 民办高校高质量发展的湖北模式研究</w:t>
      </w:r>
    </w:p>
    <w:p>
      <w:pPr>
        <w:widowControl/>
        <w:jc w:val="left"/>
        <w:rPr>
          <w:rFonts w:hint="default" w:ascii="黑体" w:hAnsi="黑体" w:eastAsia="黑体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决策咨询调研项目</w:t>
      </w:r>
      <w:r>
        <w:rPr>
          <w:rFonts w:hint="eastAsia" w:ascii="黑体" w:hAnsi="黑体" w:eastAsia="黑体"/>
          <w:b w:val="0"/>
          <w:bCs/>
          <w:sz w:val="32"/>
          <w:szCs w:val="32"/>
        </w:rPr>
        <w:t>：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1. 数字化转型与高校决策支持系统创新研究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2. 数字时代大学生就业创业能力的提升对策研究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3. 地方高校高质量发展综合绩效评价研究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4. 高校实施有组织科研的问题解构与路径建构研究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</w:rPr>
      </w:pPr>
      <w:r>
        <w:rPr>
          <w:rStyle w:val="5"/>
          <w:rFonts w:hint="default" w:ascii="仿宋_GB2312" w:hAnsi="仿宋_GB2312" w:eastAsia="仿宋_GB2312" w:cs="仿宋_GB2312"/>
        </w:rPr>
        <w:t>5. 职业本科课程开发机理与实施策略研究</w:t>
      </w:r>
    </w:p>
    <w:p>
      <w:pPr>
        <w:widowControl/>
        <w:jc w:val="left"/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资源平台共建项目</w:t>
      </w:r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：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  <w:bCs/>
        </w:rPr>
      </w:pPr>
      <w:r>
        <w:rPr>
          <w:rFonts w:ascii="黑体" w:hAnsi="黑体" w:eastAsia="黑体" w:cs="仿宋_GB2312"/>
          <w:bCs/>
          <w:sz w:val="32"/>
          <w:szCs w:val="32"/>
        </w:rPr>
        <w:t>1.</w:t>
      </w:r>
      <w:r>
        <w:rPr>
          <w:rStyle w:val="5"/>
          <w:rFonts w:hint="default" w:ascii="仿宋_GB2312" w:hAnsi="仿宋_GB2312" w:eastAsia="仿宋_GB2312" w:cs="仿宋_GB2312"/>
          <w:bCs/>
        </w:rPr>
        <w:t xml:space="preserve"> 高校课程资源数字化建设与应用研究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  <w:bCs/>
        </w:rPr>
      </w:pPr>
      <w:r>
        <w:rPr>
          <w:rStyle w:val="5"/>
          <w:rFonts w:hint="default" w:ascii="仿宋_GB2312" w:hAnsi="仿宋_GB2312" w:eastAsia="仿宋_GB2312" w:cs="仿宋_GB2312"/>
          <w:bCs/>
        </w:rPr>
        <w:t>2. 未来技术学院、特色学院和现代产业学院建设研究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  <w:bCs/>
        </w:rPr>
      </w:pPr>
      <w:r>
        <w:rPr>
          <w:rStyle w:val="5"/>
          <w:rFonts w:hint="default" w:ascii="仿宋_GB2312" w:hAnsi="仿宋_GB2312" w:eastAsia="仿宋_GB2312" w:cs="仿宋_GB2312"/>
          <w:bCs/>
        </w:rPr>
        <w:t>3. 湖北高校优质教育资源共建共享平台研究</w:t>
      </w:r>
    </w:p>
    <w:p>
      <w:pPr>
        <w:pStyle w:val="4"/>
        <w:spacing w:line="480" w:lineRule="exact"/>
        <w:ind w:firstLine="320" w:firstLineChars="100"/>
        <w:rPr>
          <w:rStyle w:val="5"/>
          <w:rFonts w:hint="default" w:ascii="仿宋_GB2312" w:hAnsi="仿宋_GB2312" w:eastAsia="仿宋_GB2312" w:cs="仿宋_GB2312"/>
          <w:bCs/>
        </w:rPr>
      </w:pPr>
      <w:r>
        <w:rPr>
          <w:rStyle w:val="5"/>
          <w:rFonts w:hint="default" w:ascii="仿宋_GB2312" w:hAnsi="仿宋_GB2312" w:eastAsia="仿宋_GB2312" w:cs="仿宋_GB2312"/>
          <w:bCs/>
        </w:rPr>
        <w:t>4.“四新”教学创新案例库研发与应用</w:t>
      </w:r>
    </w:p>
    <w:p>
      <w:pPr>
        <w:pStyle w:val="4"/>
        <w:spacing w:line="480" w:lineRule="exact"/>
        <w:ind w:firstLine="320" w:firstLineChars="100"/>
        <w:rPr>
          <w:rFonts w:hint="eastAsia" w:ascii="黑体" w:hAnsi="黑体" w:eastAsia="黑体" w:cs="仿宋_GB2312"/>
          <w:sz w:val="28"/>
          <w:szCs w:val="28"/>
        </w:rPr>
      </w:pPr>
      <w:r>
        <w:rPr>
          <w:rStyle w:val="5"/>
          <w:rFonts w:hint="default" w:ascii="仿宋_GB2312" w:hAnsi="仿宋_GB2312" w:eastAsia="仿宋_GB2312" w:cs="仿宋_GB2312"/>
          <w:bCs/>
        </w:rPr>
        <w:t>5. 智慧教育与学习分析平台开发研究</w:t>
      </w:r>
      <w:r>
        <w:rPr>
          <w:rFonts w:hint="eastAsia" w:ascii="黑体" w:hAnsi="黑体" w:eastAsia="黑体" w:cs="仿宋_GB2312"/>
          <w:sz w:val="28"/>
          <w:szCs w:val="28"/>
        </w:rPr>
        <w:t xml:space="preserve"> </w:t>
      </w: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>
      <w:pPr>
        <w:pStyle w:val="4"/>
        <w:spacing w:line="480" w:lineRule="exact"/>
        <w:ind w:firstLine="280" w:firstLineChars="100"/>
        <w:rPr>
          <w:rFonts w:hint="eastAsia" w:ascii="黑体" w:hAnsi="黑体" w:eastAsia="黑体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OTE1NGY4ZjVhOWYxNTdlZGVmNjY5YzBlY2NlZjcifQ=="/>
  </w:docVars>
  <w:rsids>
    <w:rsidRoot w:val="7AC1181D"/>
    <w:rsid w:val="7AC1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  <w:style w:type="character" w:customStyle="1" w:styleId="5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2023-05-20T05:40:00Z</dcterms:created>
  <dc:creator>牛宏钢</dc:creator>
  <cp:lastModifiedBy>牛宏钢</cp:lastModifiedBy>
  <dcterms:modified xsi:type="dcterms:W3CDTF">2023-05-20T05:43:28Z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D23B4F8080F34B92B2CD588CC16FEEA1_11</vt:lpwstr>
  </property>
</Properties>
</file>