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037" w:rsidRPr="00983EEF" w:rsidRDefault="00472037" w:rsidP="00F8675B">
      <w:pPr>
        <w:tabs>
          <w:tab w:val="left" w:pos="8820"/>
        </w:tabs>
        <w:jc w:val="center"/>
        <w:rPr>
          <w:rFonts w:ascii="宋体" w:eastAsia="仿宋_GB2312" w:hAnsi="宋体"/>
          <w:b/>
          <w:color w:val="FF0000"/>
          <w:spacing w:val="70"/>
          <w:w w:val="45"/>
          <w:sz w:val="140"/>
          <w:szCs w:val="144"/>
        </w:rPr>
      </w:pPr>
      <w:r>
        <w:rPr>
          <w:rFonts w:ascii="宋体" w:eastAsia="仿宋_GB2312" w:hAnsi="宋体" w:hint="eastAsia"/>
          <w:b/>
          <w:color w:val="FF0000"/>
          <w:spacing w:val="70"/>
          <w:w w:val="45"/>
          <w:sz w:val="140"/>
          <w:szCs w:val="144"/>
        </w:rPr>
        <w:t>武昌首义学院</w:t>
      </w:r>
    </w:p>
    <w:p w:rsidR="00472037" w:rsidRDefault="00472037" w:rsidP="00F8675B">
      <w:pPr>
        <w:jc w:val="center"/>
        <w:rPr>
          <w:rFonts w:ascii="楷体_GB2312" w:eastAsia="楷体_GB2312" w:hAnsi="宋体"/>
          <w:b/>
          <w:color w:val="FF0000"/>
          <w:sz w:val="72"/>
          <w:szCs w:val="72"/>
        </w:rPr>
      </w:pPr>
      <w:r>
        <w:rPr>
          <w:rFonts w:ascii="楷体_GB2312" w:eastAsia="楷体_GB2312" w:hAnsi="宋体" w:hint="eastAsia"/>
          <w:b/>
          <w:color w:val="FF0000"/>
          <w:sz w:val="72"/>
          <w:szCs w:val="72"/>
        </w:rPr>
        <w:t>科研简报</w:t>
      </w:r>
    </w:p>
    <w:p w:rsidR="00472037" w:rsidRDefault="00472037" w:rsidP="00F8675B">
      <w:pPr>
        <w:jc w:val="center"/>
        <w:rPr>
          <w:rFonts w:ascii="楷体_GB2312" w:eastAsia="楷体_GB2312" w:hAnsi="宋体"/>
          <w:b/>
          <w:color w:val="000000"/>
          <w:sz w:val="32"/>
          <w:szCs w:val="32"/>
        </w:rPr>
      </w:pPr>
      <w:r>
        <w:rPr>
          <w:rFonts w:ascii="仿宋_GB2312" w:eastAsia="仿宋_GB2312" w:hAnsi="宋体" w:cs="宋体"/>
          <w:color w:val="000000"/>
          <w:sz w:val="32"/>
          <w:szCs w:val="32"/>
        </w:rPr>
        <w:t xml:space="preserve"> </w:t>
      </w:r>
      <w:r w:rsidRPr="00983EEF">
        <w:rPr>
          <w:rStyle w:val="txttitle"/>
          <w:rFonts w:eastAsia="仿宋_GB2312"/>
          <w:sz w:val="32"/>
          <w:szCs w:val="32"/>
        </w:rPr>
        <w:t>201</w:t>
      </w:r>
      <w:r>
        <w:rPr>
          <w:rStyle w:val="txttitle"/>
          <w:rFonts w:eastAsia="仿宋_GB2312"/>
          <w:sz w:val="32"/>
          <w:szCs w:val="32"/>
        </w:rPr>
        <w:t>7</w:t>
      </w:r>
      <w:r w:rsidRPr="00983EEF">
        <w:rPr>
          <w:rStyle w:val="txttitle"/>
          <w:rFonts w:eastAsia="仿宋_GB2312" w:hint="eastAsia"/>
          <w:sz w:val="32"/>
          <w:szCs w:val="32"/>
        </w:rPr>
        <w:t>年第</w:t>
      </w:r>
      <w:r>
        <w:rPr>
          <w:rStyle w:val="txttitle"/>
          <w:rFonts w:eastAsia="仿宋_GB2312"/>
          <w:sz w:val="32"/>
          <w:szCs w:val="32"/>
        </w:rPr>
        <w:t>6</w:t>
      </w:r>
      <w:r w:rsidRPr="00983EEF">
        <w:rPr>
          <w:rStyle w:val="txttitle"/>
          <w:rFonts w:eastAsia="仿宋_GB2312" w:hint="eastAsia"/>
          <w:sz w:val="32"/>
          <w:szCs w:val="32"/>
        </w:rPr>
        <w:t>期</w:t>
      </w:r>
      <w:r w:rsidRPr="00983EEF">
        <w:rPr>
          <w:rStyle w:val="txt"/>
          <w:rFonts w:eastAsia="仿宋_GB2312" w:hint="eastAsia"/>
          <w:szCs w:val="32"/>
        </w:rPr>
        <w:t>（总第</w:t>
      </w:r>
      <w:r>
        <w:rPr>
          <w:rStyle w:val="txt"/>
          <w:rFonts w:eastAsia="仿宋_GB2312"/>
          <w:szCs w:val="32"/>
        </w:rPr>
        <w:t xml:space="preserve">    </w:t>
      </w:r>
      <w:r w:rsidRPr="00983EEF">
        <w:rPr>
          <w:rStyle w:val="txt"/>
          <w:rFonts w:eastAsia="仿宋_GB2312" w:hint="eastAsia"/>
          <w:szCs w:val="32"/>
        </w:rPr>
        <w:t>期）</w:t>
      </w:r>
      <w:r>
        <w:rPr>
          <w:rFonts w:ascii="楷体_GB2312" w:eastAsia="楷体_GB2312" w:hAnsi="宋体"/>
          <w:b/>
          <w:color w:val="000000"/>
          <w:sz w:val="32"/>
          <w:szCs w:val="32"/>
        </w:rPr>
        <w:t xml:space="preserve">  </w:t>
      </w:r>
    </w:p>
    <w:p w:rsidR="00472037" w:rsidRPr="00CF7889" w:rsidRDefault="00472037" w:rsidP="00B23AD0">
      <w:pPr>
        <w:pStyle w:val="ListParagraph"/>
        <w:spacing w:line="312" w:lineRule="auto"/>
        <w:ind w:left="219" w:rightChars="-30" w:right="31680" w:firstLineChars="0" w:firstLine="0"/>
        <w:rPr>
          <w:rFonts w:ascii="仿宋_GB2312" w:eastAsia="仿宋_GB2312" w:hAnsi="宋体" w:cs="宋体"/>
          <w:color w:val="000000"/>
          <w:kern w:val="0"/>
          <w:sz w:val="28"/>
          <w:szCs w:val="28"/>
        </w:rPr>
      </w:pPr>
      <w:r>
        <w:rPr>
          <w:noProof/>
        </w:rPr>
        <w:pict>
          <v:line id="_x0000_s1026" style="position:absolute;left:0;text-align:left;z-index:251658240" from="-1.5pt,27.35pt" to="425.25pt,27.35pt" strokecolor="red" strokeweight="2.25pt"/>
        </w:pict>
      </w:r>
      <w:r>
        <w:rPr>
          <w:rFonts w:ascii="仿宋_GB2312" w:eastAsia="仿宋_GB2312" w:hAnsi="宋体" w:cs="宋体" w:hint="eastAsia"/>
          <w:color w:val="000000"/>
          <w:kern w:val="0"/>
          <w:sz w:val="28"/>
          <w:szCs w:val="28"/>
        </w:rPr>
        <w:t>科学技术处、学科专业建设办公室</w:t>
      </w:r>
      <w:r>
        <w:rPr>
          <w:rFonts w:ascii="仿宋_GB2312" w:eastAsia="仿宋_GB2312" w:hAnsi="宋体" w:cs="宋体"/>
          <w:color w:val="000000"/>
          <w:kern w:val="0"/>
          <w:sz w:val="28"/>
          <w:szCs w:val="28"/>
        </w:rPr>
        <w:t xml:space="preserve">            </w:t>
      </w:r>
      <w:smartTag w:uri="urn:schemas-microsoft-com:office:smarttags" w:element="chsdate">
        <w:smartTagPr>
          <w:attr w:name="IsROCDate" w:val="False"/>
          <w:attr w:name="IsLunarDate" w:val="False"/>
          <w:attr w:name="Day" w:val="30"/>
          <w:attr w:name="Month" w:val="9"/>
          <w:attr w:name="Year" w:val="2017"/>
        </w:smartTagPr>
        <w:r>
          <w:rPr>
            <w:rFonts w:ascii="仿宋_GB2312" w:eastAsia="仿宋_GB2312" w:hAnsi="宋体" w:cs="宋体"/>
            <w:color w:val="000000"/>
            <w:kern w:val="0"/>
            <w:sz w:val="28"/>
            <w:szCs w:val="28"/>
          </w:rPr>
          <w:t>2017</w:t>
        </w:r>
        <w:r>
          <w:rPr>
            <w:rFonts w:ascii="仿宋_GB2312" w:eastAsia="仿宋_GB2312" w:hAnsi="宋体" w:cs="宋体" w:hint="eastAsia"/>
            <w:color w:val="000000"/>
            <w:kern w:val="0"/>
            <w:sz w:val="28"/>
            <w:szCs w:val="28"/>
          </w:rPr>
          <w:t>年</w:t>
        </w:r>
        <w:r>
          <w:rPr>
            <w:rFonts w:ascii="仿宋_GB2312" w:eastAsia="仿宋_GB2312" w:hAnsi="宋体" w:cs="宋体"/>
            <w:color w:val="000000"/>
            <w:kern w:val="0"/>
            <w:sz w:val="28"/>
            <w:szCs w:val="28"/>
          </w:rPr>
          <w:t>9</w:t>
        </w:r>
        <w:r>
          <w:rPr>
            <w:rFonts w:ascii="仿宋_GB2312" w:eastAsia="仿宋_GB2312" w:hAnsi="宋体" w:cs="宋体" w:hint="eastAsia"/>
            <w:color w:val="000000"/>
            <w:kern w:val="0"/>
            <w:sz w:val="28"/>
            <w:szCs w:val="28"/>
          </w:rPr>
          <w:t>月</w:t>
        </w:r>
        <w:r>
          <w:rPr>
            <w:rFonts w:ascii="仿宋_GB2312" w:eastAsia="仿宋_GB2312" w:hAnsi="宋体" w:cs="宋体"/>
            <w:color w:val="000000"/>
            <w:kern w:val="0"/>
            <w:sz w:val="28"/>
            <w:szCs w:val="28"/>
          </w:rPr>
          <w:t>30</w:t>
        </w:r>
        <w:r>
          <w:rPr>
            <w:rFonts w:ascii="仿宋_GB2312" w:eastAsia="仿宋_GB2312" w:hAnsi="宋体" w:cs="宋体" w:hint="eastAsia"/>
            <w:color w:val="000000"/>
            <w:kern w:val="0"/>
            <w:sz w:val="28"/>
            <w:szCs w:val="28"/>
          </w:rPr>
          <w:t>日</w:t>
        </w:r>
      </w:smartTag>
    </w:p>
    <w:p w:rsidR="00472037" w:rsidRPr="00B23AD0" w:rsidRDefault="00472037" w:rsidP="00B23AD0">
      <w:pPr>
        <w:pStyle w:val="Heading2"/>
        <w:shd w:val="clear" w:color="auto" w:fill="FFFFFF"/>
        <w:spacing w:before="300" w:beforeAutospacing="0" w:after="300" w:afterAutospacing="0"/>
        <w:ind w:left="300" w:right="300"/>
        <w:jc w:val="center"/>
        <w:rPr>
          <w:rFonts w:ascii="仿宋_GB2312" w:eastAsia="仿宋_GB2312" w:hAnsi="microsoft yahei"/>
          <w:color w:val="000000"/>
          <w:sz w:val="27"/>
          <w:szCs w:val="27"/>
        </w:rPr>
      </w:pPr>
      <w:r w:rsidRPr="00B23AD0">
        <w:rPr>
          <w:rFonts w:ascii="仿宋_GB2312" w:eastAsia="仿宋_GB2312" w:hAnsi="microsoft yahei" w:hint="eastAsia"/>
          <w:color w:val="000000"/>
          <w:sz w:val="27"/>
          <w:szCs w:val="27"/>
        </w:rPr>
        <w:t>我校获批两项湖北省自然科学基金项目</w:t>
      </w:r>
    </w:p>
    <w:p w:rsidR="00472037" w:rsidRPr="00B23AD0" w:rsidRDefault="00472037" w:rsidP="00B23AD0">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B23AD0">
        <w:rPr>
          <w:rFonts w:ascii="仿宋_GB2312" w:eastAsia="仿宋_GB2312" w:hAnsi="宋体" w:cs="宋体" w:hint="eastAsia"/>
          <w:color w:val="000000"/>
          <w:sz w:val="27"/>
          <w:szCs w:val="27"/>
        </w:rPr>
        <w:t>近日，学校收到《省科技厅关于下达</w:t>
      </w:r>
      <w:r w:rsidRPr="00B23AD0">
        <w:rPr>
          <w:rFonts w:ascii="仿宋_GB2312" w:eastAsia="仿宋_GB2312" w:hAnsi="宋体" w:cs="宋体"/>
          <w:color w:val="000000"/>
          <w:sz w:val="27"/>
          <w:szCs w:val="27"/>
        </w:rPr>
        <w:t>2017</w:t>
      </w:r>
      <w:r w:rsidRPr="00B23AD0">
        <w:rPr>
          <w:rFonts w:ascii="仿宋_GB2312" w:eastAsia="仿宋_GB2312" w:hAnsi="宋体" w:cs="宋体" w:hint="eastAsia"/>
          <w:color w:val="000000"/>
          <w:sz w:val="27"/>
          <w:szCs w:val="27"/>
        </w:rPr>
        <w:t>年湖北省科技计划项目（第一批）的通知》（鄂科技通</w:t>
      </w:r>
      <w:r w:rsidRPr="00B23AD0">
        <w:rPr>
          <w:rFonts w:ascii="仿宋_GB2312" w:eastAsia="仿宋_GB2312" w:hAnsi="宋体" w:cs="宋体"/>
          <w:color w:val="000000"/>
          <w:sz w:val="27"/>
          <w:szCs w:val="27"/>
        </w:rPr>
        <w:t>[2017]72</w:t>
      </w:r>
      <w:r w:rsidRPr="00B23AD0">
        <w:rPr>
          <w:rFonts w:ascii="仿宋_GB2312" w:eastAsia="仿宋_GB2312" w:hAnsi="宋体" w:cs="宋体" w:hint="eastAsia"/>
          <w:color w:val="000000"/>
          <w:sz w:val="27"/>
          <w:szCs w:val="27"/>
        </w:rPr>
        <w:t>号），我校朱祥和、宋庆国老师获批两项湖北省自然科学基金项目。这是我校首次在计算机辅助设计学科和电气工程学科获得省自然科学基金项目。</w:t>
      </w:r>
    </w:p>
    <w:p w:rsidR="00472037" w:rsidRPr="00B23AD0" w:rsidRDefault="00472037" w:rsidP="00B23AD0">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B23AD0">
        <w:rPr>
          <w:rFonts w:ascii="仿宋_GB2312" w:eastAsia="仿宋_GB2312" w:hAnsi="宋体" w:cs="宋体" w:hint="eastAsia"/>
          <w:color w:val="000000"/>
          <w:sz w:val="27"/>
          <w:szCs w:val="27"/>
        </w:rPr>
        <w:t>基础科学部朱祥和老师申报的《船舶外形曲面的数学线型与设计优化》项目是在学部主任齐欢教授的全面指导下进行的。该项目主要是利用多学科设计优化技术，在缺乏母型船资料的情况下获得船型线型，该船型满足静水性条件和动力性要求，从而提高船舶设计的自主创新能化。拟研究的内容：①提出水面船舰的数学船型方法；②根据数学船型方法，优化潜艇外形，获得低阻低噪头部外形；③开发数学船型中超越方程组计算方法与软件。</w:t>
      </w:r>
      <w:bookmarkStart w:id="0" w:name="_GoBack"/>
      <w:bookmarkEnd w:id="0"/>
    </w:p>
    <w:p w:rsidR="00472037" w:rsidRPr="00B23AD0" w:rsidRDefault="00472037" w:rsidP="00B23AD0">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B23AD0">
        <w:rPr>
          <w:rFonts w:ascii="仿宋_GB2312" w:eastAsia="仿宋_GB2312" w:hAnsi="宋体" w:cs="宋体" w:hint="eastAsia"/>
          <w:color w:val="000000"/>
          <w:sz w:val="27"/>
          <w:szCs w:val="27"/>
        </w:rPr>
        <w:t>机电学院宋庆国老师申报的《高效智能化</w:t>
      </w:r>
      <w:r w:rsidRPr="00B23AD0">
        <w:rPr>
          <w:rFonts w:ascii="仿宋_GB2312" w:eastAsia="仿宋_GB2312" w:hAnsi="宋体" w:cs="宋体"/>
          <w:color w:val="000000"/>
          <w:sz w:val="27"/>
          <w:szCs w:val="27"/>
        </w:rPr>
        <w:t>LED</w:t>
      </w:r>
      <w:r w:rsidRPr="00B23AD0">
        <w:rPr>
          <w:rFonts w:ascii="仿宋_GB2312" w:eastAsia="仿宋_GB2312" w:hAnsi="宋体" w:cs="宋体" w:hint="eastAsia"/>
          <w:color w:val="000000"/>
          <w:sz w:val="27"/>
          <w:szCs w:val="27"/>
        </w:rPr>
        <w:t>显示屏电源系统》项目，是在朱忠尼教授全面指导下进行的。该项目主要研制一种新的</w:t>
      </w:r>
      <w:r w:rsidRPr="00B23AD0">
        <w:rPr>
          <w:rFonts w:ascii="仿宋_GB2312" w:eastAsia="仿宋_GB2312" w:hAnsi="宋体" w:cs="宋体"/>
          <w:color w:val="000000"/>
          <w:sz w:val="27"/>
          <w:szCs w:val="27"/>
        </w:rPr>
        <w:t>LED</w:t>
      </w:r>
      <w:r w:rsidRPr="00B23AD0">
        <w:rPr>
          <w:rFonts w:ascii="仿宋_GB2312" w:eastAsia="仿宋_GB2312" w:hAnsi="宋体" w:cs="宋体" w:hint="eastAsia"/>
          <w:color w:val="000000"/>
          <w:sz w:val="27"/>
          <w:szCs w:val="27"/>
        </w:rPr>
        <w:t>显示屏电气系统，该系统采取高效率的外置式高压集中直流式传输、内置分布式冗余斩波降压，实现低压供电、高效传输及智能化通信管理。</w:t>
      </w:r>
    </w:p>
    <w:p w:rsidR="00472037" w:rsidRPr="00B23AD0" w:rsidRDefault="00472037" w:rsidP="00B23AD0">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B23AD0">
        <w:rPr>
          <w:rFonts w:ascii="仿宋_GB2312" w:eastAsia="仿宋_GB2312" w:hAnsi="宋体" w:cs="宋体" w:hint="eastAsia"/>
          <w:color w:val="000000"/>
          <w:sz w:val="27"/>
          <w:szCs w:val="27"/>
        </w:rPr>
        <w:t>湖北省自然科学基金项目主要支持科学技术人员在自然科学基金资助范围内自主选题，开展基础研究工作。据悉，我校信息科学与工程学院朱忠敏博士科研团队曾多次获湖北省自然科学基金项目资助。</w:t>
      </w:r>
    </w:p>
    <w:p w:rsidR="00472037" w:rsidRPr="00B23AD0" w:rsidRDefault="00472037" w:rsidP="00B23AD0">
      <w:pPr>
        <w:pStyle w:val="Heading2"/>
        <w:shd w:val="clear" w:color="auto" w:fill="FFFFFF"/>
        <w:spacing w:before="300" w:beforeAutospacing="0" w:after="300" w:afterAutospacing="0"/>
        <w:ind w:left="300" w:right="300"/>
        <w:jc w:val="center"/>
        <w:rPr>
          <w:rFonts w:ascii="仿宋_GB2312" w:eastAsia="仿宋_GB2312" w:hAnsi="microsoft yahei"/>
          <w:color w:val="000000"/>
          <w:sz w:val="27"/>
          <w:szCs w:val="27"/>
        </w:rPr>
      </w:pPr>
      <w:r w:rsidRPr="00B23AD0">
        <w:rPr>
          <w:rFonts w:ascii="仿宋_GB2312" w:eastAsia="仿宋_GB2312" w:hAnsi="microsoft yahei" w:hint="eastAsia"/>
          <w:color w:val="000000"/>
          <w:sz w:val="27"/>
          <w:szCs w:val="27"/>
        </w:rPr>
        <w:t>学校首次获批教育部人文社科研究专项项目一项</w:t>
      </w:r>
    </w:p>
    <w:p w:rsidR="00472037" w:rsidRPr="00B23AD0" w:rsidRDefault="00472037" w:rsidP="00B23AD0">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B23AD0">
        <w:rPr>
          <w:rFonts w:ascii="仿宋_GB2312" w:eastAsia="仿宋_GB2312" w:hAnsi="宋体" w:cs="宋体" w:hint="eastAsia"/>
          <w:color w:val="000000"/>
          <w:sz w:val="27"/>
          <w:szCs w:val="27"/>
        </w:rPr>
        <w:t>近日，教育部社会科学司公布了《</w:t>
      </w:r>
      <w:r w:rsidRPr="00B23AD0">
        <w:rPr>
          <w:rFonts w:ascii="仿宋_GB2312" w:eastAsia="仿宋_GB2312" w:hAnsi="宋体" w:cs="宋体"/>
          <w:color w:val="000000"/>
          <w:sz w:val="27"/>
          <w:szCs w:val="27"/>
        </w:rPr>
        <w:t>2017</w:t>
      </w:r>
      <w:r w:rsidRPr="00B23AD0">
        <w:rPr>
          <w:rFonts w:ascii="仿宋_GB2312" w:eastAsia="仿宋_GB2312" w:hAnsi="宋体" w:cs="宋体" w:hint="eastAsia"/>
          <w:color w:val="000000"/>
          <w:sz w:val="27"/>
          <w:szCs w:val="27"/>
        </w:rPr>
        <w:t>年度教育部人文社会科学研究专项任务项目（中国特色社会主义理论体系研究）立项通知书》（教社科司函</w:t>
      </w:r>
      <w:r w:rsidRPr="00B23AD0">
        <w:rPr>
          <w:rFonts w:ascii="仿宋_GB2312" w:eastAsia="仿宋_GB2312" w:hAnsi="宋体" w:cs="宋体"/>
          <w:color w:val="000000"/>
          <w:sz w:val="27"/>
          <w:szCs w:val="27"/>
        </w:rPr>
        <w:t>[2017]147</w:t>
      </w:r>
      <w:r w:rsidRPr="00B23AD0">
        <w:rPr>
          <w:rFonts w:ascii="仿宋_GB2312" w:eastAsia="仿宋_GB2312" w:hAnsi="宋体" w:cs="宋体" w:hint="eastAsia"/>
          <w:color w:val="000000"/>
          <w:sz w:val="27"/>
          <w:szCs w:val="27"/>
        </w:rPr>
        <w:t>号），我校张瑾老师的《高校社会主义核心价值观教育的地域化研究》课题，获批为</w:t>
      </w:r>
      <w:r w:rsidRPr="00B23AD0">
        <w:rPr>
          <w:rFonts w:ascii="仿宋_GB2312" w:eastAsia="仿宋_GB2312" w:hAnsi="宋体" w:cs="宋体"/>
          <w:color w:val="000000"/>
          <w:sz w:val="27"/>
          <w:szCs w:val="27"/>
        </w:rPr>
        <w:t>2017</w:t>
      </w:r>
      <w:r w:rsidRPr="00B23AD0">
        <w:rPr>
          <w:rFonts w:ascii="仿宋_GB2312" w:eastAsia="仿宋_GB2312" w:hAnsi="宋体" w:cs="宋体" w:hint="eastAsia"/>
          <w:color w:val="000000"/>
          <w:sz w:val="27"/>
          <w:szCs w:val="27"/>
        </w:rPr>
        <w:t>年度教育部人文社会科学研究专项任务项目。这是学校首次获批教育部人文社科思政专项课题。</w:t>
      </w:r>
    </w:p>
    <w:p w:rsidR="00472037" w:rsidRPr="00B23AD0" w:rsidRDefault="00472037" w:rsidP="00B23AD0">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B23AD0">
        <w:rPr>
          <w:rFonts w:ascii="仿宋_GB2312" w:eastAsia="仿宋_GB2312" w:hAnsi="宋体" w:cs="宋体" w:hint="eastAsia"/>
          <w:color w:val="000000"/>
          <w:sz w:val="27"/>
          <w:szCs w:val="27"/>
        </w:rPr>
        <w:t>据悉，本次教育部高校思政课题共立项</w:t>
      </w:r>
      <w:r w:rsidRPr="00B23AD0">
        <w:rPr>
          <w:rFonts w:ascii="仿宋_GB2312" w:eastAsia="仿宋_GB2312" w:hAnsi="宋体" w:cs="宋体"/>
          <w:color w:val="000000"/>
          <w:sz w:val="27"/>
          <w:szCs w:val="27"/>
        </w:rPr>
        <w:t>100</w:t>
      </w:r>
      <w:r w:rsidRPr="00B23AD0">
        <w:rPr>
          <w:rFonts w:ascii="仿宋_GB2312" w:eastAsia="仿宋_GB2312" w:hAnsi="宋体" w:cs="宋体" w:hint="eastAsia"/>
          <w:color w:val="000000"/>
          <w:sz w:val="27"/>
          <w:szCs w:val="27"/>
        </w:rPr>
        <w:t>项，湖北省共有</w:t>
      </w:r>
      <w:r w:rsidRPr="00B23AD0">
        <w:rPr>
          <w:rFonts w:ascii="仿宋_GB2312" w:eastAsia="仿宋_GB2312" w:hAnsi="宋体" w:cs="宋体"/>
          <w:color w:val="000000"/>
          <w:sz w:val="27"/>
          <w:szCs w:val="27"/>
        </w:rPr>
        <w:t>5</w:t>
      </w:r>
      <w:r w:rsidRPr="00B23AD0">
        <w:rPr>
          <w:rFonts w:ascii="仿宋_GB2312" w:eastAsia="仿宋_GB2312" w:hAnsi="宋体" w:cs="宋体" w:hint="eastAsia"/>
          <w:color w:val="000000"/>
          <w:sz w:val="27"/>
          <w:szCs w:val="27"/>
        </w:rPr>
        <w:t>所高校获批该类课题，其他</w:t>
      </w:r>
      <w:r w:rsidRPr="00B23AD0">
        <w:rPr>
          <w:rFonts w:ascii="仿宋_GB2312" w:eastAsia="仿宋_GB2312" w:hAnsi="宋体" w:cs="宋体"/>
          <w:color w:val="000000"/>
          <w:sz w:val="27"/>
          <w:szCs w:val="27"/>
        </w:rPr>
        <w:t>4</w:t>
      </w:r>
      <w:r w:rsidRPr="00B23AD0">
        <w:rPr>
          <w:rFonts w:ascii="仿宋_GB2312" w:eastAsia="仿宋_GB2312" w:hAnsi="宋体" w:cs="宋体" w:hint="eastAsia"/>
          <w:color w:val="000000"/>
          <w:sz w:val="27"/>
          <w:szCs w:val="27"/>
        </w:rPr>
        <w:t>所高校分别是：武汉大学、华中农业大学、武汉理工大学、武汉华夏理工学院，每所高校获批</w:t>
      </w:r>
      <w:r w:rsidRPr="00B23AD0">
        <w:rPr>
          <w:rFonts w:ascii="仿宋_GB2312" w:eastAsia="仿宋_GB2312" w:hAnsi="宋体" w:cs="宋体"/>
          <w:color w:val="000000"/>
          <w:sz w:val="27"/>
          <w:szCs w:val="27"/>
        </w:rPr>
        <w:t>1</w:t>
      </w:r>
      <w:r w:rsidRPr="00B23AD0">
        <w:rPr>
          <w:rFonts w:ascii="仿宋_GB2312" w:eastAsia="仿宋_GB2312" w:hAnsi="宋体" w:cs="宋体" w:hint="eastAsia"/>
          <w:color w:val="000000"/>
          <w:sz w:val="27"/>
          <w:szCs w:val="27"/>
        </w:rPr>
        <w:t>项。</w:t>
      </w:r>
    </w:p>
    <w:p w:rsidR="00472037" w:rsidRPr="00B23AD0" w:rsidRDefault="00472037" w:rsidP="00B23AD0">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B23AD0">
        <w:rPr>
          <w:rFonts w:ascii="仿宋_GB2312" w:eastAsia="仿宋_GB2312" w:hAnsi="宋体" w:cs="宋体" w:hint="eastAsia"/>
          <w:color w:val="000000"/>
          <w:sz w:val="27"/>
          <w:szCs w:val="27"/>
        </w:rPr>
        <w:t>近年来，为争取更多省部级以上项目，学校加大对各类纵向科研项目申报的申报引导，各院系对申报课题进行指导和初审，科技处对课题申报书的规范填写逐项进行协商指导、督促老师反复修改。这次张瑾老师获批教育部人文社科研究专项项目，将引领我校中国特色社会主义理论研究及思想政治教育研究深入推进。</w:t>
      </w:r>
    </w:p>
    <w:p w:rsidR="00472037" w:rsidRPr="007A71DA" w:rsidRDefault="00472037" w:rsidP="00B23AD0">
      <w:pPr>
        <w:pStyle w:val="Heading2"/>
        <w:shd w:val="clear" w:color="auto" w:fill="FFFFFF"/>
        <w:spacing w:before="300" w:beforeAutospacing="0" w:after="300" w:afterAutospacing="0"/>
        <w:ind w:left="300" w:right="300"/>
        <w:jc w:val="center"/>
        <w:rPr>
          <w:rFonts w:ascii="仿宋_GB2312" w:eastAsia="仿宋_GB2312" w:hAnsi="microsoft yahei"/>
          <w:color w:val="000000"/>
          <w:sz w:val="27"/>
          <w:szCs w:val="27"/>
        </w:rPr>
      </w:pPr>
      <w:r w:rsidRPr="00B23AD0">
        <w:rPr>
          <w:rFonts w:ascii="仿宋_GB2312" w:eastAsia="仿宋_GB2312" w:hAnsi="microsoft yahei" w:hint="eastAsia"/>
          <w:color w:val="000000"/>
          <w:sz w:val="27"/>
          <w:szCs w:val="27"/>
        </w:rPr>
        <w:t>江少川教授出席多伦多国际研讨会并作主题演讲</w:t>
      </w:r>
    </w:p>
    <w:p w:rsidR="00472037" w:rsidRPr="00B23AD0" w:rsidRDefault="00472037" w:rsidP="00B23AD0">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B23AD0">
        <w:rPr>
          <w:rFonts w:ascii="仿宋_GB2312" w:eastAsia="仿宋_GB2312" w:hAnsi="宋体" w:cs="宋体" w:hint="eastAsia"/>
          <w:color w:val="000000"/>
          <w:sz w:val="27"/>
          <w:szCs w:val="27"/>
        </w:rPr>
        <w:t>由加拿大约克大学举办的</w:t>
      </w:r>
      <w:r w:rsidRPr="00B23AD0">
        <w:rPr>
          <w:rFonts w:ascii="仿宋_GB2312" w:eastAsia="仿宋_GB2312" w:hAnsi="宋体" w:cs="宋体"/>
          <w:color w:val="000000"/>
          <w:sz w:val="27"/>
          <w:szCs w:val="27"/>
        </w:rPr>
        <w:t>“</w:t>
      </w:r>
      <w:r w:rsidRPr="00B23AD0">
        <w:rPr>
          <w:rFonts w:ascii="仿宋_GB2312" w:eastAsia="仿宋_GB2312" w:hAnsi="宋体" w:cs="宋体" w:hint="eastAsia"/>
          <w:color w:val="000000"/>
          <w:sz w:val="27"/>
          <w:szCs w:val="27"/>
        </w:rPr>
        <w:t>回顾与展望：加拿大华人文学与媒体国际学术研讨会</w:t>
      </w:r>
      <w:r w:rsidRPr="00B23AD0">
        <w:rPr>
          <w:rFonts w:ascii="仿宋_GB2312" w:eastAsia="仿宋_GB2312" w:hAnsi="宋体" w:cs="宋体"/>
          <w:color w:val="000000"/>
          <w:sz w:val="27"/>
          <w:szCs w:val="27"/>
        </w:rPr>
        <w:t>”</w:t>
      </w:r>
      <w:r w:rsidRPr="00B23AD0">
        <w:rPr>
          <w:rFonts w:ascii="仿宋_GB2312" w:eastAsia="仿宋_GB2312" w:hAnsi="宋体" w:cs="宋体"/>
          <w:color w:val="000000"/>
          <w:sz w:val="27"/>
          <w:szCs w:val="27"/>
        </w:rPr>
        <w:t>7</w:t>
      </w:r>
      <w:r w:rsidRPr="00B23AD0">
        <w:rPr>
          <w:rFonts w:ascii="仿宋_GB2312" w:eastAsia="仿宋_GB2312" w:hAnsi="宋体" w:cs="宋体" w:hint="eastAsia"/>
          <w:color w:val="000000"/>
          <w:sz w:val="27"/>
          <w:szCs w:val="27"/>
        </w:rPr>
        <w:t>月下旬在多伦多隆重召开，来自加拿大、美国、韩国、新西兰、中国大陆及台湾、澳门地区的</w:t>
      </w:r>
      <w:r w:rsidRPr="00B23AD0">
        <w:rPr>
          <w:rFonts w:ascii="仿宋_GB2312" w:eastAsia="仿宋_GB2312" w:hAnsi="宋体" w:cs="宋体"/>
          <w:color w:val="000000"/>
          <w:sz w:val="27"/>
          <w:szCs w:val="27"/>
        </w:rPr>
        <w:t>37</w:t>
      </w:r>
      <w:r w:rsidRPr="00B23AD0">
        <w:rPr>
          <w:rFonts w:ascii="仿宋_GB2312" w:eastAsia="仿宋_GB2312" w:hAnsi="宋体" w:cs="宋体" w:hint="eastAsia"/>
          <w:color w:val="000000"/>
          <w:sz w:val="27"/>
          <w:szCs w:val="27"/>
        </w:rPr>
        <w:t>所高校与研究机构的专家学者出席会议。我校新法学院江少川教授应邀赴会，并在大会圆桌会专家论坛作主题发言。</w:t>
      </w:r>
    </w:p>
    <w:p w:rsidR="00472037" w:rsidRPr="00B23AD0" w:rsidRDefault="00472037" w:rsidP="00B23AD0">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B23AD0">
        <w:rPr>
          <w:rFonts w:ascii="仿宋_GB2312" w:eastAsia="仿宋_GB2312" w:hAnsi="宋体" w:cs="宋体" w:hint="eastAsia"/>
          <w:color w:val="000000"/>
          <w:sz w:val="27"/>
          <w:szCs w:val="27"/>
        </w:rPr>
        <w:t>圆桌会专家论坛为大会重要组成部分，特别邀请四位嘉宾发言以</w:t>
      </w:r>
      <w:r w:rsidRPr="00B23AD0">
        <w:rPr>
          <w:rFonts w:ascii="仿宋_GB2312" w:eastAsia="仿宋_GB2312" w:hAnsi="宋体" w:cs="宋体"/>
          <w:color w:val="000000"/>
          <w:sz w:val="27"/>
          <w:szCs w:val="27"/>
        </w:rPr>
        <w:t>“</w:t>
      </w:r>
      <w:r w:rsidRPr="00B23AD0">
        <w:rPr>
          <w:rFonts w:ascii="仿宋_GB2312" w:eastAsia="仿宋_GB2312" w:hAnsi="宋体" w:cs="宋体" w:hint="eastAsia"/>
          <w:color w:val="000000"/>
          <w:sz w:val="27"/>
          <w:szCs w:val="27"/>
        </w:rPr>
        <w:t>回顾与展望：加拿大华人文学的历史、现状与未来</w:t>
      </w:r>
      <w:r w:rsidRPr="00B23AD0">
        <w:rPr>
          <w:rFonts w:ascii="仿宋_GB2312" w:eastAsia="仿宋_GB2312" w:hAnsi="宋体" w:cs="宋体"/>
          <w:color w:val="000000"/>
          <w:sz w:val="27"/>
          <w:szCs w:val="27"/>
        </w:rPr>
        <w:t>”</w:t>
      </w:r>
      <w:r w:rsidRPr="00B23AD0">
        <w:rPr>
          <w:rFonts w:ascii="仿宋_GB2312" w:eastAsia="仿宋_GB2312" w:hAnsi="宋体" w:cs="宋体" w:hint="eastAsia"/>
          <w:color w:val="000000"/>
          <w:sz w:val="27"/>
          <w:szCs w:val="27"/>
        </w:rPr>
        <w:t>为题演讲。江少川教授应邀作</w:t>
      </w:r>
      <w:r w:rsidRPr="00B23AD0">
        <w:rPr>
          <w:rFonts w:ascii="仿宋_GB2312" w:eastAsia="仿宋_GB2312" w:hAnsi="宋体" w:cs="宋体"/>
          <w:color w:val="000000"/>
          <w:sz w:val="27"/>
          <w:szCs w:val="27"/>
        </w:rPr>
        <w:t>“</w:t>
      </w:r>
      <w:r w:rsidRPr="00B23AD0">
        <w:rPr>
          <w:rFonts w:ascii="仿宋_GB2312" w:eastAsia="仿宋_GB2312" w:hAnsi="宋体" w:cs="宋体" w:hint="eastAsia"/>
          <w:color w:val="000000"/>
          <w:sz w:val="27"/>
          <w:szCs w:val="27"/>
        </w:rPr>
        <w:t>呼唤海外华文文学经典</w:t>
      </w:r>
      <w:r w:rsidRPr="00B23AD0">
        <w:rPr>
          <w:rFonts w:ascii="仿宋_GB2312" w:eastAsia="仿宋_GB2312" w:hAnsi="宋体" w:cs="宋体"/>
          <w:color w:val="000000"/>
          <w:sz w:val="27"/>
          <w:szCs w:val="27"/>
        </w:rPr>
        <w:t>”</w:t>
      </w:r>
      <w:r w:rsidRPr="00B23AD0">
        <w:rPr>
          <w:rFonts w:ascii="仿宋_GB2312" w:eastAsia="仿宋_GB2312" w:hAnsi="宋体" w:cs="宋体" w:hint="eastAsia"/>
          <w:color w:val="000000"/>
          <w:sz w:val="27"/>
          <w:szCs w:val="27"/>
        </w:rPr>
        <w:t>主题演讲，他从新移民作家的独特生命体验、面临的挑战与创作地球村时代的文学经典三方面进行了论述。其他发言嘉宾为著名旅美华裔作家卢新华、南昌大学陈公仲教授、澳门大学朱寿桐教授。主持者暨南大学蒋述卓教授对四位专家的演讲给予了高度评价。</w:t>
      </w:r>
    </w:p>
    <w:p w:rsidR="00472037" w:rsidRPr="00B23AD0" w:rsidRDefault="00472037" w:rsidP="00B23AD0">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B23AD0">
        <w:rPr>
          <w:rFonts w:ascii="仿宋_GB2312" w:eastAsia="仿宋_GB2312" w:hAnsi="宋体" w:cs="宋体" w:hint="eastAsia"/>
          <w:color w:val="000000"/>
          <w:sz w:val="27"/>
          <w:szCs w:val="27"/>
        </w:rPr>
        <w:t>大会还以</w:t>
      </w:r>
      <w:r w:rsidRPr="00B23AD0">
        <w:rPr>
          <w:rFonts w:ascii="仿宋_GB2312" w:eastAsia="仿宋_GB2312" w:hAnsi="宋体" w:cs="宋体"/>
          <w:color w:val="000000"/>
          <w:sz w:val="27"/>
          <w:szCs w:val="27"/>
        </w:rPr>
        <w:t>“</w:t>
      </w:r>
      <w:r w:rsidRPr="00B23AD0">
        <w:rPr>
          <w:rFonts w:ascii="仿宋_GB2312" w:eastAsia="仿宋_GB2312" w:hAnsi="宋体" w:cs="宋体" w:hint="eastAsia"/>
          <w:color w:val="000000"/>
          <w:sz w:val="27"/>
          <w:szCs w:val="27"/>
        </w:rPr>
        <w:t>回顾与展望</w:t>
      </w:r>
      <w:r w:rsidRPr="00B23AD0">
        <w:rPr>
          <w:rFonts w:ascii="仿宋_GB2312" w:eastAsia="仿宋_GB2312" w:hAnsi="宋体" w:cs="宋体"/>
          <w:color w:val="000000"/>
          <w:sz w:val="27"/>
          <w:szCs w:val="27"/>
        </w:rPr>
        <w:t>”</w:t>
      </w:r>
      <w:r w:rsidRPr="00B23AD0">
        <w:rPr>
          <w:rFonts w:ascii="仿宋_GB2312" w:eastAsia="仿宋_GB2312" w:hAnsi="宋体" w:cs="宋体" w:hint="eastAsia"/>
          <w:color w:val="000000"/>
          <w:sz w:val="27"/>
          <w:szCs w:val="27"/>
        </w:rPr>
        <w:t>为总主题，围绕</w:t>
      </w:r>
      <w:r w:rsidRPr="00B23AD0">
        <w:rPr>
          <w:rFonts w:ascii="仿宋_GB2312" w:eastAsia="仿宋_GB2312" w:hAnsi="宋体" w:cs="宋体"/>
          <w:color w:val="000000"/>
          <w:sz w:val="27"/>
          <w:szCs w:val="27"/>
        </w:rPr>
        <w:t>“</w:t>
      </w:r>
      <w:r w:rsidRPr="00B23AD0">
        <w:rPr>
          <w:rFonts w:ascii="仿宋_GB2312" w:eastAsia="仿宋_GB2312" w:hAnsi="宋体" w:cs="宋体" w:hint="eastAsia"/>
          <w:color w:val="000000"/>
          <w:sz w:val="27"/>
          <w:szCs w:val="27"/>
        </w:rPr>
        <w:t>家庭记忆与寻根之旅</w:t>
      </w:r>
      <w:r w:rsidRPr="00B23AD0">
        <w:rPr>
          <w:rFonts w:ascii="仿宋_GB2312" w:eastAsia="仿宋_GB2312" w:hAnsi="宋体" w:cs="宋体"/>
          <w:color w:val="000000"/>
          <w:sz w:val="27"/>
          <w:szCs w:val="27"/>
        </w:rPr>
        <w:t>”</w:t>
      </w:r>
      <w:r w:rsidRPr="00B23AD0">
        <w:rPr>
          <w:rFonts w:ascii="仿宋_GB2312" w:eastAsia="仿宋_GB2312" w:hAnsi="宋体" w:cs="宋体" w:hint="eastAsia"/>
          <w:color w:val="000000"/>
          <w:sz w:val="27"/>
          <w:szCs w:val="27"/>
        </w:rPr>
        <w:t>、</w:t>
      </w:r>
      <w:r w:rsidRPr="00B23AD0">
        <w:rPr>
          <w:rFonts w:ascii="仿宋_GB2312" w:eastAsia="仿宋_GB2312" w:hAnsi="宋体" w:cs="宋体"/>
          <w:color w:val="000000"/>
          <w:sz w:val="27"/>
          <w:szCs w:val="27"/>
        </w:rPr>
        <w:t>“</w:t>
      </w:r>
      <w:r w:rsidRPr="00B23AD0">
        <w:rPr>
          <w:rFonts w:ascii="仿宋_GB2312" w:eastAsia="仿宋_GB2312" w:hAnsi="宋体" w:cs="宋体" w:hint="eastAsia"/>
          <w:color w:val="000000"/>
          <w:sz w:val="27"/>
          <w:szCs w:val="27"/>
        </w:rPr>
        <w:t>加华作家书写的多重样态</w:t>
      </w:r>
      <w:r w:rsidRPr="00B23AD0">
        <w:rPr>
          <w:rFonts w:ascii="仿宋_GB2312" w:eastAsia="仿宋_GB2312" w:hAnsi="宋体" w:cs="宋体"/>
          <w:color w:val="000000"/>
          <w:sz w:val="27"/>
          <w:szCs w:val="27"/>
        </w:rPr>
        <w:t>”</w:t>
      </w:r>
      <w:r w:rsidRPr="00B23AD0">
        <w:rPr>
          <w:rFonts w:ascii="仿宋_GB2312" w:eastAsia="仿宋_GB2312" w:hAnsi="宋体" w:cs="宋体" w:hint="eastAsia"/>
          <w:color w:val="000000"/>
          <w:sz w:val="27"/>
          <w:szCs w:val="27"/>
        </w:rPr>
        <w:t>、</w:t>
      </w:r>
      <w:r w:rsidRPr="00B23AD0">
        <w:rPr>
          <w:rFonts w:ascii="仿宋_GB2312" w:eastAsia="仿宋_GB2312" w:hAnsi="宋体" w:cs="宋体"/>
          <w:color w:val="000000"/>
          <w:sz w:val="27"/>
          <w:szCs w:val="27"/>
        </w:rPr>
        <w:t>“</w:t>
      </w:r>
      <w:r w:rsidRPr="00B23AD0">
        <w:rPr>
          <w:rFonts w:ascii="仿宋_GB2312" w:eastAsia="仿宋_GB2312" w:hAnsi="宋体" w:cs="宋体" w:hint="eastAsia"/>
          <w:color w:val="000000"/>
          <w:sz w:val="27"/>
          <w:szCs w:val="27"/>
        </w:rPr>
        <w:t>加华文学的衍射和全球定位</w:t>
      </w:r>
      <w:r w:rsidRPr="00B23AD0">
        <w:rPr>
          <w:rFonts w:ascii="仿宋_GB2312" w:eastAsia="仿宋_GB2312" w:hAnsi="宋体" w:cs="宋体"/>
          <w:color w:val="000000"/>
          <w:sz w:val="27"/>
          <w:szCs w:val="27"/>
        </w:rPr>
        <w:t>”</w:t>
      </w:r>
      <w:r w:rsidRPr="00B23AD0">
        <w:rPr>
          <w:rFonts w:ascii="仿宋_GB2312" w:eastAsia="仿宋_GB2312" w:hAnsi="宋体" w:cs="宋体" w:hint="eastAsia"/>
          <w:color w:val="000000"/>
          <w:sz w:val="27"/>
          <w:szCs w:val="27"/>
        </w:rPr>
        <w:t>等多个论题在分会场进行了探讨。江少川教授在分会场作《穿越华夏历史的天空</w:t>
      </w:r>
      <w:r w:rsidRPr="00B23AD0">
        <w:rPr>
          <w:rFonts w:ascii="仿宋_GB2312" w:eastAsia="仿宋_GB2312" w:hAnsi="宋体" w:cs="宋体"/>
          <w:color w:val="000000"/>
          <w:sz w:val="27"/>
          <w:szCs w:val="27"/>
        </w:rPr>
        <w:t>——</w:t>
      </w:r>
      <w:r w:rsidRPr="00B23AD0">
        <w:rPr>
          <w:rFonts w:ascii="仿宋_GB2312" w:eastAsia="仿宋_GB2312" w:hAnsi="宋体" w:cs="宋体" w:hint="eastAsia"/>
          <w:color w:val="000000"/>
          <w:sz w:val="27"/>
          <w:szCs w:val="27"/>
        </w:rPr>
        <w:t>读陈河长篇新作</w:t>
      </w:r>
      <w:r w:rsidRPr="00B23AD0">
        <w:rPr>
          <w:rFonts w:ascii="仿宋_GB2312" w:eastAsia="仿宋_GB2312" w:hAnsi="宋体" w:cs="宋体"/>
          <w:color w:val="000000"/>
          <w:sz w:val="27"/>
          <w:szCs w:val="27"/>
        </w:rPr>
        <w:t>&lt;</w:t>
      </w:r>
      <w:r w:rsidRPr="00B23AD0">
        <w:rPr>
          <w:rFonts w:ascii="仿宋_GB2312" w:eastAsia="仿宋_GB2312" w:hAnsi="宋体" w:cs="宋体" w:hint="eastAsia"/>
          <w:color w:val="000000"/>
          <w:sz w:val="27"/>
          <w:szCs w:val="27"/>
        </w:rPr>
        <w:t>甲骨时光</w:t>
      </w:r>
      <w:r w:rsidRPr="00B23AD0">
        <w:rPr>
          <w:rFonts w:ascii="仿宋_GB2312" w:eastAsia="仿宋_GB2312" w:hAnsi="宋体" w:cs="宋体"/>
          <w:color w:val="000000"/>
          <w:sz w:val="27"/>
          <w:szCs w:val="27"/>
        </w:rPr>
        <w:t>&gt;</w:t>
      </w:r>
      <w:r w:rsidRPr="00B23AD0">
        <w:rPr>
          <w:rFonts w:ascii="仿宋_GB2312" w:eastAsia="仿宋_GB2312" w:hAnsi="宋体" w:cs="宋体" w:hint="eastAsia"/>
          <w:color w:val="000000"/>
          <w:sz w:val="27"/>
          <w:szCs w:val="27"/>
        </w:rPr>
        <w:t>》的主题发言。《甲骨时光》曾获得中宣部华人华侨文学大奖，江少川教授发言时旅加作家陈河在场。他的精彩发言获得代表们的赞赏与好评。</w:t>
      </w:r>
    </w:p>
    <w:p w:rsidR="00472037" w:rsidRPr="00B23AD0" w:rsidRDefault="00472037" w:rsidP="00B23AD0">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B23AD0">
        <w:rPr>
          <w:rFonts w:ascii="仿宋_GB2312" w:eastAsia="仿宋_GB2312" w:hAnsi="宋体" w:cs="宋体" w:hint="eastAsia"/>
          <w:color w:val="000000"/>
          <w:sz w:val="27"/>
          <w:szCs w:val="27"/>
        </w:rPr>
        <w:t>江少川教授作为我校汉语言文学专业学术带头人，数十年坚持海外华文文学研究，在海内外享有较高声誉，主持省教育厅重大人文社科科研项目等多项、带领汉语言专业教师团队出版著作多部、发表论文多篇，并将科研成果用于人才培养，培养了大批文学功底深厚、肯钻研的学生。</w:t>
      </w:r>
    </w:p>
    <w:p w:rsidR="00472037" w:rsidRPr="007A71DA" w:rsidRDefault="00472037" w:rsidP="00B23AD0">
      <w:pPr>
        <w:pStyle w:val="Heading2"/>
        <w:shd w:val="clear" w:color="auto" w:fill="FFFFFF"/>
        <w:spacing w:before="300" w:beforeAutospacing="0" w:after="300" w:afterAutospacing="0"/>
        <w:ind w:left="300" w:right="300"/>
        <w:jc w:val="center"/>
        <w:rPr>
          <w:rFonts w:ascii="仿宋_GB2312" w:eastAsia="仿宋_GB2312" w:hAnsi="microsoft yahei"/>
          <w:color w:val="000000"/>
          <w:sz w:val="27"/>
          <w:szCs w:val="27"/>
        </w:rPr>
      </w:pPr>
      <w:r w:rsidRPr="00B23AD0">
        <w:rPr>
          <w:rFonts w:ascii="仿宋_GB2312" w:eastAsia="仿宋_GB2312" w:hAnsi="microsoft yahei" w:hint="eastAsia"/>
          <w:color w:val="000000"/>
          <w:sz w:val="27"/>
          <w:szCs w:val="27"/>
        </w:rPr>
        <w:t>校企合作搭平台</w:t>
      </w:r>
      <w:r w:rsidRPr="00B23AD0">
        <w:rPr>
          <w:rFonts w:ascii="仿宋_GB2312" w:eastAsia="仿宋_GB2312" w:hAnsi="microsoft yahei"/>
          <w:color w:val="000000"/>
          <w:sz w:val="27"/>
          <w:szCs w:val="27"/>
        </w:rPr>
        <w:t xml:space="preserve"> </w:t>
      </w:r>
      <w:r w:rsidRPr="00B23AD0">
        <w:rPr>
          <w:rFonts w:ascii="仿宋_GB2312" w:eastAsia="仿宋_GB2312" w:hAnsi="microsoft yahei" w:hint="eastAsia"/>
          <w:color w:val="000000"/>
          <w:sz w:val="27"/>
          <w:szCs w:val="27"/>
        </w:rPr>
        <w:t>产教融合结硕果</w:t>
      </w:r>
    </w:p>
    <w:p w:rsidR="00472037" w:rsidRPr="00B23AD0" w:rsidRDefault="00472037" w:rsidP="00B23AD0">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B23AD0">
        <w:rPr>
          <w:rFonts w:ascii="仿宋_GB2312" w:eastAsia="仿宋_GB2312" w:hAnsi="宋体" w:cs="宋体" w:hint="eastAsia"/>
          <w:color w:val="000000"/>
          <w:sz w:val="27"/>
          <w:szCs w:val="27"/>
        </w:rPr>
        <w:t>近日，据湖北省商务厅、湖北省教育厅联合下发的鄂商务发〔</w:t>
      </w:r>
      <w:r w:rsidRPr="00B23AD0">
        <w:rPr>
          <w:rFonts w:ascii="仿宋_GB2312" w:eastAsia="仿宋_GB2312" w:hAnsi="宋体" w:cs="宋体"/>
          <w:color w:val="000000"/>
          <w:sz w:val="27"/>
          <w:szCs w:val="27"/>
        </w:rPr>
        <w:t>2017</w:t>
      </w:r>
      <w:r w:rsidRPr="00B23AD0">
        <w:rPr>
          <w:rFonts w:ascii="仿宋_GB2312" w:eastAsia="仿宋_GB2312" w:hAnsi="宋体" w:cs="宋体" w:hint="eastAsia"/>
          <w:color w:val="000000"/>
          <w:sz w:val="27"/>
          <w:szCs w:val="27"/>
        </w:rPr>
        <w:t>〕</w:t>
      </w:r>
      <w:r w:rsidRPr="00B23AD0">
        <w:rPr>
          <w:rFonts w:ascii="仿宋_GB2312" w:eastAsia="仿宋_GB2312" w:hAnsi="宋体" w:cs="宋体"/>
          <w:color w:val="000000"/>
          <w:sz w:val="27"/>
          <w:szCs w:val="27"/>
        </w:rPr>
        <w:t>89</w:t>
      </w:r>
      <w:r w:rsidRPr="00B23AD0">
        <w:rPr>
          <w:rFonts w:ascii="仿宋_GB2312" w:eastAsia="仿宋_GB2312" w:hAnsi="宋体" w:cs="宋体" w:hint="eastAsia"/>
          <w:color w:val="000000"/>
          <w:sz w:val="27"/>
          <w:szCs w:val="27"/>
        </w:rPr>
        <w:t>号文件，武昌首义学院信息科学与工程学院成功入选第二批湖北省服务外包人才培养（训）基地。此次通过认定的还有武汉理工大学计算机科学与技术学院等</w:t>
      </w:r>
      <w:r w:rsidRPr="00B23AD0">
        <w:rPr>
          <w:rFonts w:ascii="仿宋_GB2312" w:eastAsia="仿宋_GB2312" w:hAnsi="宋体" w:cs="宋体"/>
          <w:color w:val="000000"/>
          <w:sz w:val="27"/>
          <w:szCs w:val="27"/>
        </w:rPr>
        <w:t>48</w:t>
      </w:r>
      <w:r w:rsidRPr="00B23AD0">
        <w:rPr>
          <w:rFonts w:ascii="仿宋_GB2312" w:eastAsia="仿宋_GB2312" w:hAnsi="宋体" w:cs="宋体" w:hint="eastAsia"/>
          <w:color w:val="000000"/>
          <w:sz w:val="27"/>
          <w:szCs w:val="27"/>
        </w:rPr>
        <w:t>所学院及武汉中软卓越科技有限公司等</w:t>
      </w:r>
      <w:r w:rsidRPr="00B23AD0">
        <w:rPr>
          <w:rFonts w:ascii="仿宋_GB2312" w:eastAsia="仿宋_GB2312" w:hAnsi="宋体" w:cs="宋体"/>
          <w:color w:val="000000"/>
          <w:sz w:val="27"/>
          <w:szCs w:val="27"/>
        </w:rPr>
        <w:t>15</w:t>
      </w:r>
      <w:r w:rsidRPr="00B23AD0">
        <w:rPr>
          <w:rFonts w:ascii="仿宋_GB2312" w:eastAsia="仿宋_GB2312" w:hAnsi="宋体" w:cs="宋体" w:hint="eastAsia"/>
          <w:color w:val="000000"/>
          <w:sz w:val="27"/>
          <w:szCs w:val="27"/>
        </w:rPr>
        <w:t>家社会培训机构企业。</w:t>
      </w:r>
    </w:p>
    <w:p w:rsidR="00472037" w:rsidRPr="00B23AD0" w:rsidRDefault="00472037" w:rsidP="00B23AD0">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B23AD0">
        <w:rPr>
          <w:rFonts w:ascii="仿宋_GB2312" w:eastAsia="仿宋_GB2312" w:hAnsi="宋体" w:cs="宋体" w:hint="eastAsia"/>
          <w:color w:val="000000"/>
          <w:sz w:val="27"/>
          <w:szCs w:val="27"/>
        </w:rPr>
        <w:t>本次申报，我校凭借计算机专业过硬的师资力量、良好的教学实训条件、广阔的就业前景、优质的校企合作资源以及丰硕的人才培养成果，得以成功入选湖北省服务外包人才培养（训）基地行列。</w:t>
      </w:r>
    </w:p>
    <w:p w:rsidR="00472037" w:rsidRPr="00B23AD0" w:rsidRDefault="00472037" w:rsidP="00B23AD0">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B23AD0">
        <w:rPr>
          <w:rFonts w:ascii="仿宋_GB2312" w:eastAsia="仿宋_GB2312" w:hAnsi="宋体" w:cs="宋体" w:hint="eastAsia"/>
          <w:color w:val="000000"/>
          <w:sz w:val="27"/>
          <w:szCs w:val="27"/>
        </w:rPr>
        <w:t>湖北省服务外包人才培养（训）基地是省商务厅、省教育厅为推动建立高校计算机专业人才培养与服务外包产业需求相结合的新模式，旨在壮大湖北省服务外包人才培养（训）队伍，不断满足日益增长的服务外包人才需要，推动服务外包产业快速发展，促进大学生创业就业。</w:t>
      </w:r>
    </w:p>
    <w:p w:rsidR="00472037" w:rsidRPr="00B23AD0" w:rsidRDefault="00472037" w:rsidP="00B23AD0">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B23AD0">
        <w:rPr>
          <w:rFonts w:ascii="仿宋_GB2312" w:eastAsia="仿宋_GB2312" w:hAnsi="宋体" w:cs="宋体" w:hint="eastAsia"/>
          <w:color w:val="000000"/>
          <w:sz w:val="27"/>
          <w:szCs w:val="27"/>
        </w:rPr>
        <w:t>服务外包人才的培养是一项长期的、复杂的系统工程，信科院将以培养（训）基地为平台，以企业需求为导向，以培养国际化、实用性人才为目标，利用良好的办学条件，引入国际先进经验和模式，创新培训方法，深入调研，精心组织，切实把服务外包人才培养工作落到实处，为我省服务外包产业发展提供有力的人才支撑。</w:t>
      </w:r>
    </w:p>
    <w:p w:rsidR="00472037" w:rsidRPr="00B23AD0" w:rsidRDefault="00472037" w:rsidP="00B23AD0">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p>
    <w:sectPr w:rsidR="00472037" w:rsidRPr="00B23AD0" w:rsidSect="004358A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037" w:rsidRDefault="00472037" w:rsidP="00F8675B">
      <w:pPr>
        <w:spacing w:after="0"/>
      </w:pPr>
      <w:r>
        <w:separator/>
      </w:r>
    </w:p>
  </w:endnote>
  <w:endnote w:type="continuationSeparator" w:id="0">
    <w:p w:rsidR="00472037" w:rsidRDefault="00472037" w:rsidP="00F8675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altName w:val="宋体"/>
    <w:panose1 w:val="00000000000000000000"/>
    <w:charset w:val="86"/>
    <w:family w:val="swiss"/>
    <w:notTrueType/>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icrosoft yahei">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037" w:rsidRDefault="004720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037" w:rsidRDefault="0047203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037" w:rsidRDefault="004720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037" w:rsidRDefault="00472037" w:rsidP="00F8675B">
      <w:pPr>
        <w:spacing w:after="0"/>
      </w:pPr>
      <w:r>
        <w:separator/>
      </w:r>
    </w:p>
  </w:footnote>
  <w:footnote w:type="continuationSeparator" w:id="0">
    <w:p w:rsidR="00472037" w:rsidRDefault="00472037" w:rsidP="00F8675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037" w:rsidRDefault="004720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037" w:rsidRDefault="00472037" w:rsidP="00B23AD0">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037" w:rsidRDefault="0047203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63DF6"/>
    <w:rsid w:val="001844E7"/>
    <w:rsid w:val="001C5A96"/>
    <w:rsid w:val="002B4483"/>
    <w:rsid w:val="002C150D"/>
    <w:rsid w:val="002F6478"/>
    <w:rsid w:val="00323B43"/>
    <w:rsid w:val="003B5592"/>
    <w:rsid w:val="003D0D71"/>
    <w:rsid w:val="003D37D8"/>
    <w:rsid w:val="003E2719"/>
    <w:rsid w:val="00426133"/>
    <w:rsid w:val="004313DD"/>
    <w:rsid w:val="004358AB"/>
    <w:rsid w:val="00472037"/>
    <w:rsid w:val="00474B23"/>
    <w:rsid w:val="0061069B"/>
    <w:rsid w:val="006E503E"/>
    <w:rsid w:val="006F7F63"/>
    <w:rsid w:val="007A71DA"/>
    <w:rsid w:val="007B7415"/>
    <w:rsid w:val="007F26EB"/>
    <w:rsid w:val="008018E6"/>
    <w:rsid w:val="00820CD0"/>
    <w:rsid w:val="008B7726"/>
    <w:rsid w:val="009008E1"/>
    <w:rsid w:val="00940B79"/>
    <w:rsid w:val="009458FD"/>
    <w:rsid w:val="009771C8"/>
    <w:rsid w:val="00983EEF"/>
    <w:rsid w:val="009D53B8"/>
    <w:rsid w:val="00B07F51"/>
    <w:rsid w:val="00B1615A"/>
    <w:rsid w:val="00B23AD0"/>
    <w:rsid w:val="00B95B7F"/>
    <w:rsid w:val="00BA68D5"/>
    <w:rsid w:val="00C13F0A"/>
    <w:rsid w:val="00C24FBB"/>
    <w:rsid w:val="00C3322F"/>
    <w:rsid w:val="00C435E2"/>
    <w:rsid w:val="00C61F72"/>
    <w:rsid w:val="00CF7889"/>
    <w:rsid w:val="00D31D50"/>
    <w:rsid w:val="00D708E3"/>
    <w:rsid w:val="00DD0819"/>
    <w:rsid w:val="00EA6E28"/>
    <w:rsid w:val="00F8675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43"/>
    <w:pPr>
      <w:adjustRightInd w:val="0"/>
      <w:snapToGrid w:val="0"/>
      <w:spacing w:after="200"/>
    </w:pPr>
    <w:rPr>
      <w:rFonts w:ascii="Tahoma" w:hAnsi="Tahoma"/>
      <w:kern w:val="0"/>
      <w:sz w:val="22"/>
    </w:rPr>
  </w:style>
  <w:style w:type="paragraph" w:styleId="Heading2">
    <w:name w:val="heading 2"/>
    <w:basedOn w:val="Normal"/>
    <w:link w:val="Heading2Char"/>
    <w:uiPriority w:val="99"/>
    <w:qFormat/>
    <w:locked/>
    <w:rsid w:val="0061069B"/>
    <w:pPr>
      <w:adjustRightInd/>
      <w:snapToGrid/>
      <w:spacing w:before="100" w:beforeAutospacing="1" w:after="100" w:afterAutospacing="1"/>
      <w:outlineLvl w:val="1"/>
    </w:pPr>
    <w:rPr>
      <w:rFonts w:ascii="宋体" w:eastAsia="宋体" w:hAnsi="宋体" w:cs="宋体"/>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8018E6"/>
    <w:rPr>
      <w:rFonts w:ascii="Cambria" w:eastAsia="宋体" w:hAnsi="Cambria" w:cs="Times New Roman"/>
      <w:b/>
      <w:bCs/>
      <w:kern w:val="0"/>
      <w:sz w:val="32"/>
      <w:szCs w:val="32"/>
    </w:rPr>
  </w:style>
  <w:style w:type="paragraph" w:styleId="Header">
    <w:name w:val="header"/>
    <w:basedOn w:val="Normal"/>
    <w:link w:val="HeaderChar"/>
    <w:uiPriority w:val="99"/>
    <w:semiHidden/>
    <w:rsid w:val="00F8675B"/>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semiHidden/>
    <w:locked/>
    <w:rsid w:val="00F8675B"/>
    <w:rPr>
      <w:rFonts w:ascii="Tahoma" w:hAnsi="Tahoma" w:cs="Times New Roman"/>
      <w:sz w:val="18"/>
      <w:szCs w:val="18"/>
    </w:rPr>
  </w:style>
  <w:style w:type="paragraph" w:styleId="Footer">
    <w:name w:val="footer"/>
    <w:basedOn w:val="Normal"/>
    <w:link w:val="FooterChar"/>
    <w:uiPriority w:val="99"/>
    <w:semiHidden/>
    <w:rsid w:val="00F8675B"/>
    <w:pPr>
      <w:tabs>
        <w:tab w:val="center" w:pos="4153"/>
        <w:tab w:val="right" w:pos="8306"/>
      </w:tabs>
    </w:pPr>
    <w:rPr>
      <w:sz w:val="18"/>
      <w:szCs w:val="18"/>
    </w:rPr>
  </w:style>
  <w:style w:type="character" w:customStyle="1" w:styleId="FooterChar">
    <w:name w:val="Footer Char"/>
    <w:basedOn w:val="DefaultParagraphFont"/>
    <w:link w:val="Footer"/>
    <w:uiPriority w:val="99"/>
    <w:semiHidden/>
    <w:locked/>
    <w:rsid w:val="00F8675B"/>
    <w:rPr>
      <w:rFonts w:ascii="Tahoma" w:hAnsi="Tahoma" w:cs="Times New Roman"/>
      <w:sz w:val="18"/>
      <w:szCs w:val="18"/>
    </w:rPr>
  </w:style>
  <w:style w:type="paragraph" w:styleId="ListParagraph">
    <w:name w:val="List Paragraph"/>
    <w:basedOn w:val="Normal"/>
    <w:uiPriority w:val="99"/>
    <w:qFormat/>
    <w:rsid w:val="00F8675B"/>
    <w:pPr>
      <w:widowControl w:val="0"/>
      <w:adjustRightInd/>
      <w:snapToGrid/>
      <w:spacing w:after="0"/>
      <w:ind w:firstLineChars="200" w:firstLine="420"/>
      <w:jc w:val="both"/>
    </w:pPr>
    <w:rPr>
      <w:rFonts w:ascii="Calibri" w:eastAsia="宋体" w:hAnsi="Calibri"/>
      <w:kern w:val="2"/>
      <w:sz w:val="21"/>
    </w:rPr>
  </w:style>
  <w:style w:type="character" w:customStyle="1" w:styleId="txttitle">
    <w:name w:val="txttitle"/>
    <w:basedOn w:val="DefaultParagraphFont"/>
    <w:uiPriority w:val="99"/>
    <w:rsid w:val="00F8675B"/>
    <w:rPr>
      <w:rFonts w:cs="Times New Roman"/>
    </w:rPr>
  </w:style>
  <w:style w:type="character" w:customStyle="1" w:styleId="txt">
    <w:name w:val="txt"/>
    <w:basedOn w:val="DefaultParagraphFont"/>
    <w:uiPriority w:val="99"/>
    <w:rsid w:val="00F8675B"/>
    <w:rPr>
      <w:rFonts w:cs="Times New Roman"/>
    </w:rPr>
  </w:style>
  <w:style w:type="paragraph" w:styleId="NormalWeb">
    <w:name w:val="Normal (Web)"/>
    <w:basedOn w:val="Normal"/>
    <w:uiPriority w:val="99"/>
    <w:rsid w:val="0061069B"/>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646128199">
      <w:marLeft w:val="0"/>
      <w:marRight w:val="0"/>
      <w:marTop w:val="0"/>
      <w:marBottom w:val="0"/>
      <w:divBdr>
        <w:top w:val="none" w:sz="0" w:space="0" w:color="auto"/>
        <w:left w:val="none" w:sz="0" w:space="0" w:color="auto"/>
        <w:bottom w:val="none" w:sz="0" w:space="0" w:color="auto"/>
        <w:right w:val="none" w:sz="0" w:space="0" w:color="auto"/>
      </w:divBdr>
    </w:div>
    <w:div w:id="646128200">
      <w:marLeft w:val="0"/>
      <w:marRight w:val="0"/>
      <w:marTop w:val="0"/>
      <w:marBottom w:val="0"/>
      <w:divBdr>
        <w:top w:val="none" w:sz="0" w:space="0" w:color="auto"/>
        <w:left w:val="none" w:sz="0" w:space="0" w:color="auto"/>
        <w:bottom w:val="none" w:sz="0" w:space="0" w:color="auto"/>
        <w:right w:val="none" w:sz="0" w:space="0" w:color="auto"/>
      </w:divBdr>
    </w:div>
    <w:div w:id="646128201">
      <w:marLeft w:val="0"/>
      <w:marRight w:val="0"/>
      <w:marTop w:val="0"/>
      <w:marBottom w:val="0"/>
      <w:divBdr>
        <w:top w:val="none" w:sz="0" w:space="0" w:color="auto"/>
        <w:left w:val="none" w:sz="0" w:space="0" w:color="auto"/>
        <w:bottom w:val="none" w:sz="0" w:space="0" w:color="auto"/>
        <w:right w:val="none" w:sz="0" w:space="0" w:color="auto"/>
      </w:divBdr>
    </w:div>
    <w:div w:id="646128202">
      <w:marLeft w:val="0"/>
      <w:marRight w:val="0"/>
      <w:marTop w:val="0"/>
      <w:marBottom w:val="0"/>
      <w:divBdr>
        <w:top w:val="none" w:sz="0" w:space="0" w:color="auto"/>
        <w:left w:val="none" w:sz="0" w:space="0" w:color="auto"/>
        <w:bottom w:val="none" w:sz="0" w:space="0" w:color="auto"/>
        <w:right w:val="none" w:sz="0" w:space="0" w:color="auto"/>
      </w:divBdr>
    </w:div>
    <w:div w:id="646128203">
      <w:marLeft w:val="0"/>
      <w:marRight w:val="0"/>
      <w:marTop w:val="0"/>
      <w:marBottom w:val="0"/>
      <w:divBdr>
        <w:top w:val="none" w:sz="0" w:space="0" w:color="auto"/>
        <w:left w:val="none" w:sz="0" w:space="0" w:color="auto"/>
        <w:bottom w:val="none" w:sz="0" w:space="0" w:color="auto"/>
        <w:right w:val="none" w:sz="0" w:space="0" w:color="auto"/>
      </w:divBdr>
    </w:div>
    <w:div w:id="646128204">
      <w:marLeft w:val="0"/>
      <w:marRight w:val="0"/>
      <w:marTop w:val="0"/>
      <w:marBottom w:val="0"/>
      <w:divBdr>
        <w:top w:val="none" w:sz="0" w:space="0" w:color="auto"/>
        <w:left w:val="none" w:sz="0" w:space="0" w:color="auto"/>
        <w:bottom w:val="none" w:sz="0" w:space="0" w:color="auto"/>
        <w:right w:val="none" w:sz="0" w:space="0" w:color="auto"/>
      </w:divBdr>
    </w:div>
    <w:div w:id="646128205">
      <w:marLeft w:val="0"/>
      <w:marRight w:val="0"/>
      <w:marTop w:val="0"/>
      <w:marBottom w:val="0"/>
      <w:divBdr>
        <w:top w:val="none" w:sz="0" w:space="0" w:color="auto"/>
        <w:left w:val="none" w:sz="0" w:space="0" w:color="auto"/>
        <w:bottom w:val="none" w:sz="0" w:space="0" w:color="auto"/>
        <w:right w:val="none" w:sz="0" w:space="0" w:color="auto"/>
      </w:divBdr>
    </w:div>
    <w:div w:id="646128206">
      <w:marLeft w:val="0"/>
      <w:marRight w:val="0"/>
      <w:marTop w:val="0"/>
      <w:marBottom w:val="0"/>
      <w:divBdr>
        <w:top w:val="none" w:sz="0" w:space="0" w:color="auto"/>
        <w:left w:val="none" w:sz="0" w:space="0" w:color="auto"/>
        <w:bottom w:val="none" w:sz="0" w:space="0" w:color="auto"/>
        <w:right w:val="none" w:sz="0" w:space="0" w:color="auto"/>
      </w:divBdr>
    </w:div>
    <w:div w:id="646128207">
      <w:marLeft w:val="0"/>
      <w:marRight w:val="0"/>
      <w:marTop w:val="0"/>
      <w:marBottom w:val="0"/>
      <w:divBdr>
        <w:top w:val="none" w:sz="0" w:space="0" w:color="auto"/>
        <w:left w:val="none" w:sz="0" w:space="0" w:color="auto"/>
        <w:bottom w:val="none" w:sz="0" w:space="0" w:color="auto"/>
        <w:right w:val="none" w:sz="0" w:space="0" w:color="auto"/>
      </w:divBdr>
    </w:div>
    <w:div w:id="646128208">
      <w:marLeft w:val="0"/>
      <w:marRight w:val="0"/>
      <w:marTop w:val="0"/>
      <w:marBottom w:val="0"/>
      <w:divBdr>
        <w:top w:val="none" w:sz="0" w:space="0" w:color="auto"/>
        <w:left w:val="none" w:sz="0" w:space="0" w:color="auto"/>
        <w:bottom w:val="none" w:sz="0" w:space="0" w:color="auto"/>
        <w:right w:val="none" w:sz="0" w:space="0" w:color="auto"/>
      </w:divBdr>
    </w:div>
    <w:div w:id="646128209">
      <w:marLeft w:val="0"/>
      <w:marRight w:val="0"/>
      <w:marTop w:val="0"/>
      <w:marBottom w:val="0"/>
      <w:divBdr>
        <w:top w:val="none" w:sz="0" w:space="0" w:color="auto"/>
        <w:left w:val="none" w:sz="0" w:space="0" w:color="auto"/>
        <w:bottom w:val="none" w:sz="0" w:space="0" w:color="auto"/>
        <w:right w:val="none" w:sz="0" w:space="0" w:color="auto"/>
      </w:divBdr>
    </w:div>
    <w:div w:id="646128210">
      <w:marLeft w:val="0"/>
      <w:marRight w:val="0"/>
      <w:marTop w:val="0"/>
      <w:marBottom w:val="0"/>
      <w:divBdr>
        <w:top w:val="none" w:sz="0" w:space="0" w:color="auto"/>
        <w:left w:val="none" w:sz="0" w:space="0" w:color="auto"/>
        <w:bottom w:val="none" w:sz="0" w:space="0" w:color="auto"/>
        <w:right w:val="none" w:sz="0" w:space="0" w:color="auto"/>
      </w:divBdr>
    </w:div>
    <w:div w:id="646128211">
      <w:marLeft w:val="0"/>
      <w:marRight w:val="0"/>
      <w:marTop w:val="0"/>
      <w:marBottom w:val="0"/>
      <w:divBdr>
        <w:top w:val="none" w:sz="0" w:space="0" w:color="auto"/>
        <w:left w:val="none" w:sz="0" w:space="0" w:color="auto"/>
        <w:bottom w:val="none" w:sz="0" w:space="0" w:color="auto"/>
        <w:right w:val="none" w:sz="0" w:space="0" w:color="auto"/>
      </w:divBdr>
    </w:div>
    <w:div w:id="646128212">
      <w:marLeft w:val="0"/>
      <w:marRight w:val="0"/>
      <w:marTop w:val="0"/>
      <w:marBottom w:val="0"/>
      <w:divBdr>
        <w:top w:val="none" w:sz="0" w:space="0" w:color="auto"/>
        <w:left w:val="none" w:sz="0" w:space="0" w:color="auto"/>
        <w:bottom w:val="none" w:sz="0" w:space="0" w:color="auto"/>
        <w:right w:val="none" w:sz="0" w:space="0" w:color="auto"/>
      </w:divBdr>
    </w:div>
    <w:div w:id="646128213">
      <w:marLeft w:val="0"/>
      <w:marRight w:val="0"/>
      <w:marTop w:val="0"/>
      <w:marBottom w:val="0"/>
      <w:divBdr>
        <w:top w:val="none" w:sz="0" w:space="0" w:color="auto"/>
        <w:left w:val="none" w:sz="0" w:space="0" w:color="auto"/>
        <w:bottom w:val="none" w:sz="0" w:space="0" w:color="auto"/>
        <w:right w:val="none" w:sz="0" w:space="0" w:color="auto"/>
      </w:divBdr>
    </w:div>
    <w:div w:id="646128214">
      <w:marLeft w:val="0"/>
      <w:marRight w:val="0"/>
      <w:marTop w:val="0"/>
      <w:marBottom w:val="0"/>
      <w:divBdr>
        <w:top w:val="none" w:sz="0" w:space="0" w:color="auto"/>
        <w:left w:val="none" w:sz="0" w:space="0" w:color="auto"/>
        <w:bottom w:val="none" w:sz="0" w:space="0" w:color="auto"/>
        <w:right w:val="none" w:sz="0" w:space="0" w:color="auto"/>
      </w:divBdr>
    </w:div>
    <w:div w:id="646128215">
      <w:marLeft w:val="0"/>
      <w:marRight w:val="0"/>
      <w:marTop w:val="0"/>
      <w:marBottom w:val="0"/>
      <w:divBdr>
        <w:top w:val="none" w:sz="0" w:space="0" w:color="auto"/>
        <w:left w:val="none" w:sz="0" w:space="0" w:color="auto"/>
        <w:bottom w:val="none" w:sz="0" w:space="0" w:color="auto"/>
        <w:right w:val="none" w:sz="0" w:space="0" w:color="auto"/>
      </w:divBdr>
    </w:div>
    <w:div w:id="646128216">
      <w:marLeft w:val="0"/>
      <w:marRight w:val="0"/>
      <w:marTop w:val="0"/>
      <w:marBottom w:val="0"/>
      <w:divBdr>
        <w:top w:val="none" w:sz="0" w:space="0" w:color="auto"/>
        <w:left w:val="none" w:sz="0" w:space="0" w:color="auto"/>
        <w:bottom w:val="none" w:sz="0" w:space="0" w:color="auto"/>
        <w:right w:val="none" w:sz="0" w:space="0" w:color="auto"/>
      </w:divBdr>
    </w:div>
    <w:div w:id="646128217">
      <w:marLeft w:val="0"/>
      <w:marRight w:val="0"/>
      <w:marTop w:val="0"/>
      <w:marBottom w:val="0"/>
      <w:divBdr>
        <w:top w:val="none" w:sz="0" w:space="0" w:color="auto"/>
        <w:left w:val="none" w:sz="0" w:space="0" w:color="auto"/>
        <w:bottom w:val="none" w:sz="0" w:space="0" w:color="auto"/>
        <w:right w:val="none" w:sz="0" w:space="0" w:color="auto"/>
      </w:divBdr>
    </w:div>
    <w:div w:id="646128218">
      <w:marLeft w:val="0"/>
      <w:marRight w:val="0"/>
      <w:marTop w:val="0"/>
      <w:marBottom w:val="0"/>
      <w:divBdr>
        <w:top w:val="none" w:sz="0" w:space="0" w:color="auto"/>
        <w:left w:val="none" w:sz="0" w:space="0" w:color="auto"/>
        <w:bottom w:val="none" w:sz="0" w:space="0" w:color="auto"/>
        <w:right w:val="none" w:sz="0" w:space="0" w:color="auto"/>
      </w:divBdr>
    </w:div>
    <w:div w:id="646128219">
      <w:marLeft w:val="0"/>
      <w:marRight w:val="0"/>
      <w:marTop w:val="0"/>
      <w:marBottom w:val="0"/>
      <w:divBdr>
        <w:top w:val="none" w:sz="0" w:space="0" w:color="auto"/>
        <w:left w:val="none" w:sz="0" w:space="0" w:color="auto"/>
        <w:bottom w:val="none" w:sz="0" w:space="0" w:color="auto"/>
        <w:right w:val="none" w:sz="0" w:space="0" w:color="auto"/>
      </w:divBdr>
    </w:div>
    <w:div w:id="646128220">
      <w:marLeft w:val="0"/>
      <w:marRight w:val="0"/>
      <w:marTop w:val="0"/>
      <w:marBottom w:val="0"/>
      <w:divBdr>
        <w:top w:val="none" w:sz="0" w:space="0" w:color="auto"/>
        <w:left w:val="none" w:sz="0" w:space="0" w:color="auto"/>
        <w:bottom w:val="none" w:sz="0" w:space="0" w:color="auto"/>
        <w:right w:val="none" w:sz="0" w:space="0" w:color="auto"/>
      </w:divBdr>
    </w:div>
    <w:div w:id="646128221">
      <w:marLeft w:val="0"/>
      <w:marRight w:val="0"/>
      <w:marTop w:val="0"/>
      <w:marBottom w:val="0"/>
      <w:divBdr>
        <w:top w:val="none" w:sz="0" w:space="0" w:color="auto"/>
        <w:left w:val="none" w:sz="0" w:space="0" w:color="auto"/>
        <w:bottom w:val="none" w:sz="0" w:space="0" w:color="auto"/>
        <w:right w:val="none" w:sz="0" w:space="0" w:color="auto"/>
      </w:divBdr>
    </w:div>
    <w:div w:id="646128222">
      <w:marLeft w:val="0"/>
      <w:marRight w:val="0"/>
      <w:marTop w:val="0"/>
      <w:marBottom w:val="0"/>
      <w:divBdr>
        <w:top w:val="none" w:sz="0" w:space="0" w:color="auto"/>
        <w:left w:val="none" w:sz="0" w:space="0" w:color="auto"/>
        <w:bottom w:val="none" w:sz="0" w:space="0" w:color="auto"/>
        <w:right w:val="none" w:sz="0" w:space="0" w:color="auto"/>
      </w:divBdr>
    </w:div>
    <w:div w:id="646128223">
      <w:marLeft w:val="0"/>
      <w:marRight w:val="0"/>
      <w:marTop w:val="0"/>
      <w:marBottom w:val="0"/>
      <w:divBdr>
        <w:top w:val="none" w:sz="0" w:space="0" w:color="auto"/>
        <w:left w:val="none" w:sz="0" w:space="0" w:color="auto"/>
        <w:bottom w:val="none" w:sz="0" w:space="0" w:color="auto"/>
        <w:right w:val="none" w:sz="0" w:space="0" w:color="auto"/>
      </w:divBdr>
    </w:div>
    <w:div w:id="646128224">
      <w:marLeft w:val="0"/>
      <w:marRight w:val="0"/>
      <w:marTop w:val="0"/>
      <w:marBottom w:val="0"/>
      <w:divBdr>
        <w:top w:val="none" w:sz="0" w:space="0" w:color="auto"/>
        <w:left w:val="none" w:sz="0" w:space="0" w:color="auto"/>
        <w:bottom w:val="none" w:sz="0" w:space="0" w:color="auto"/>
        <w:right w:val="none" w:sz="0" w:space="0" w:color="auto"/>
      </w:divBdr>
    </w:div>
    <w:div w:id="646128225">
      <w:marLeft w:val="0"/>
      <w:marRight w:val="0"/>
      <w:marTop w:val="0"/>
      <w:marBottom w:val="0"/>
      <w:divBdr>
        <w:top w:val="none" w:sz="0" w:space="0" w:color="auto"/>
        <w:left w:val="none" w:sz="0" w:space="0" w:color="auto"/>
        <w:bottom w:val="none" w:sz="0" w:space="0" w:color="auto"/>
        <w:right w:val="none" w:sz="0" w:space="0" w:color="auto"/>
      </w:divBdr>
    </w:div>
    <w:div w:id="646128226">
      <w:marLeft w:val="0"/>
      <w:marRight w:val="0"/>
      <w:marTop w:val="0"/>
      <w:marBottom w:val="0"/>
      <w:divBdr>
        <w:top w:val="none" w:sz="0" w:space="0" w:color="auto"/>
        <w:left w:val="none" w:sz="0" w:space="0" w:color="auto"/>
        <w:bottom w:val="none" w:sz="0" w:space="0" w:color="auto"/>
        <w:right w:val="none" w:sz="0" w:space="0" w:color="auto"/>
      </w:divBdr>
    </w:div>
    <w:div w:id="646128227">
      <w:marLeft w:val="0"/>
      <w:marRight w:val="0"/>
      <w:marTop w:val="0"/>
      <w:marBottom w:val="0"/>
      <w:divBdr>
        <w:top w:val="none" w:sz="0" w:space="0" w:color="auto"/>
        <w:left w:val="none" w:sz="0" w:space="0" w:color="auto"/>
        <w:bottom w:val="none" w:sz="0" w:space="0" w:color="auto"/>
        <w:right w:val="none" w:sz="0" w:space="0" w:color="auto"/>
      </w:divBdr>
    </w:div>
    <w:div w:id="6461282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115</TotalTime>
  <Pages>4</Pages>
  <Words>324</Words>
  <Characters>1848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武昌首义学院</dc:title>
  <dc:subject/>
  <dc:creator/>
  <cp:keywords/>
  <dc:description/>
  <cp:lastModifiedBy>微软用户</cp:lastModifiedBy>
  <cp:revision>6</cp:revision>
  <dcterms:created xsi:type="dcterms:W3CDTF">2016-09-02T02:20:00Z</dcterms:created>
  <dcterms:modified xsi:type="dcterms:W3CDTF">2017-12-25T06:08:00Z</dcterms:modified>
</cp:coreProperties>
</file>